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8A2DA" w14:textId="193C4E1A" w:rsidR="00CB352A" w:rsidRDefault="00CB352A">
      <w:pPr>
        <w:rPr>
          <w:rFonts w:ascii="Arial" w:hAnsi="Arial" w:cs="Arial"/>
          <w:b/>
          <w:sz w:val="24"/>
          <w:szCs w:val="24"/>
        </w:rPr>
      </w:pPr>
      <w:r>
        <w:rPr>
          <w:noProof/>
        </w:rPr>
        <w:drawing>
          <wp:inline distT="0" distB="0" distL="0" distR="0" wp14:anchorId="398D0B2B" wp14:editId="584E32FC">
            <wp:extent cx="2266950" cy="1229158"/>
            <wp:effectExtent l="0" t="0" r="0" b="9525"/>
            <wp:docPr id="811468037" name="Picture 811468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266950" cy="1229158"/>
                    </a:xfrm>
                    <a:prstGeom prst="rect">
                      <a:avLst/>
                    </a:prstGeom>
                  </pic:spPr>
                </pic:pic>
              </a:graphicData>
            </a:graphic>
          </wp:inline>
        </w:drawing>
      </w:r>
    </w:p>
    <w:p w14:paraId="5EEC2BC7" w14:textId="29F1E89C" w:rsidR="003E76D3" w:rsidRDefault="007F6665" w:rsidP="00111F24">
      <w:pPr>
        <w:spacing w:after="0" w:line="240" w:lineRule="auto"/>
        <w:rPr>
          <w:rFonts w:ascii="Arial" w:hAnsi="Arial" w:cs="Arial"/>
          <w:b/>
          <w:sz w:val="24"/>
          <w:szCs w:val="24"/>
        </w:rPr>
      </w:pPr>
      <w:r w:rsidRPr="00111F24">
        <w:rPr>
          <w:rFonts w:ascii="Arial" w:hAnsi="Arial" w:cs="Arial"/>
          <w:b/>
          <w:sz w:val="24"/>
          <w:szCs w:val="24"/>
        </w:rPr>
        <w:t>Guidance for</w:t>
      </w:r>
      <w:r w:rsidR="00BC45B7">
        <w:rPr>
          <w:rFonts w:ascii="Arial" w:hAnsi="Arial" w:cs="Arial"/>
          <w:b/>
          <w:sz w:val="24"/>
          <w:szCs w:val="24"/>
        </w:rPr>
        <w:t xml:space="preserve"> completing a</w:t>
      </w:r>
      <w:r w:rsidRPr="00111F24">
        <w:rPr>
          <w:rFonts w:ascii="Arial" w:hAnsi="Arial" w:cs="Arial"/>
          <w:b/>
          <w:sz w:val="24"/>
          <w:szCs w:val="24"/>
        </w:rPr>
        <w:t xml:space="preserve"> Data Protection Impact Assessment</w:t>
      </w:r>
    </w:p>
    <w:p w14:paraId="7900FE59" w14:textId="77777777" w:rsidR="00B04C47" w:rsidRPr="00111F24" w:rsidRDefault="00B04C47" w:rsidP="00111F24">
      <w:pPr>
        <w:spacing w:after="0" w:line="240" w:lineRule="auto"/>
        <w:rPr>
          <w:rFonts w:ascii="Arial" w:hAnsi="Arial" w:cs="Arial"/>
          <w:b/>
          <w:sz w:val="24"/>
          <w:szCs w:val="24"/>
        </w:rPr>
      </w:pPr>
    </w:p>
    <w:p w14:paraId="28615C97" w14:textId="0ED5B379" w:rsidR="007F6665" w:rsidRDefault="007F6665" w:rsidP="00111F24">
      <w:pPr>
        <w:spacing w:after="0" w:line="240" w:lineRule="auto"/>
        <w:rPr>
          <w:rFonts w:ascii="Arial" w:hAnsi="Arial" w:cs="Arial"/>
          <w:sz w:val="24"/>
          <w:szCs w:val="24"/>
        </w:rPr>
      </w:pPr>
      <w:r w:rsidRPr="00111F24">
        <w:rPr>
          <w:rFonts w:ascii="Arial" w:hAnsi="Arial" w:cs="Arial"/>
          <w:i/>
          <w:sz w:val="24"/>
          <w:szCs w:val="24"/>
        </w:rPr>
        <w:t xml:space="preserve">The aim of this guidance is to help those tasked with assessing the risks relating to the processing of personal data – and sensitive non-personal data </w:t>
      </w:r>
      <w:r w:rsidR="00964BA2" w:rsidRPr="00111F24">
        <w:rPr>
          <w:rFonts w:ascii="Arial" w:hAnsi="Arial" w:cs="Arial"/>
          <w:i/>
          <w:sz w:val="24"/>
          <w:szCs w:val="24"/>
        </w:rPr>
        <w:t>–</w:t>
      </w:r>
      <w:r w:rsidRPr="00111F24">
        <w:rPr>
          <w:rFonts w:ascii="Arial" w:hAnsi="Arial" w:cs="Arial"/>
          <w:i/>
          <w:sz w:val="24"/>
          <w:szCs w:val="24"/>
        </w:rPr>
        <w:t xml:space="preserve"> </w:t>
      </w:r>
      <w:r w:rsidR="0061659D" w:rsidRPr="00111F24">
        <w:rPr>
          <w:rFonts w:ascii="Arial" w:hAnsi="Arial" w:cs="Arial"/>
          <w:i/>
          <w:sz w:val="24"/>
          <w:szCs w:val="24"/>
        </w:rPr>
        <w:t>when designing new services</w:t>
      </w:r>
      <w:r w:rsidR="003E76D3" w:rsidRPr="00111F24">
        <w:rPr>
          <w:rFonts w:ascii="Arial" w:hAnsi="Arial" w:cs="Arial"/>
          <w:i/>
          <w:sz w:val="24"/>
          <w:szCs w:val="24"/>
        </w:rPr>
        <w:t>,</w:t>
      </w:r>
      <w:r w:rsidR="005C4FD0" w:rsidRPr="00111F24">
        <w:rPr>
          <w:rFonts w:ascii="Arial" w:hAnsi="Arial" w:cs="Arial"/>
          <w:i/>
          <w:sz w:val="24"/>
          <w:szCs w:val="24"/>
        </w:rPr>
        <w:t xml:space="preserve"> initiating project</w:t>
      </w:r>
      <w:r w:rsidR="003E76D3" w:rsidRPr="00111F24">
        <w:rPr>
          <w:rFonts w:ascii="Arial" w:hAnsi="Arial" w:cs="Arial"/>
          <w:i/>
          <w:sz w:val="24"/>
          <w:szCs w:val="24"/>
        </w:rPr>
        <w:t>s</w:t>
      </w:r>
      <w:r w:rsidR="00E6422C" w:rsidRPr="00111F24">
        <w:rPr>
          <w:rFonts w:ascii="Arial" w:hAnsi="Arial" w:cs="Arial"/>
          <w:i/>
          <w:sz w:val="24"/>
          <w:szCs w:val="24"/>
        </w:rPr>
        <w:t>,</w:t>
      </w:r>
      <w:r w:rsidR="003E76D3" w:rsidRPr="00111F24">
        <w:rPr>
          <w:rFonts w:ascii="Arial" w:hAnsi="Arial" w:cs="Arial"/>
          <w:i/>
          <w:sz w:val="24"/>
          <w:szCs w:val="24"/>
        </w:rPr>
        <w:t xml:space="preserve"> reviewing current arrangements</w:t>
      </w:r>
      <w:r w:rsidR="00E6422C" w:rsidRPr="00111F24">
        <w:rPr>
          <w:rFonts w:ascii="Arial" w:hAnsi="Arial" w:cs="Arial"/>
          <w:i/>
          <w:sz w:val="24"/>
          <w:szCs w:val="24"/>
        </w:rPr>
        <w:t xml:space="preserve">, </w:t>
      </w:r>
      <w:r w:rsidR="005132D9" w:rsidRPr="00111F24">
        <w:rPr>
          <w:rFonts w:ascii="Arial" w:hAnsi="Arial" w:cs="Arial"/>
          <w:i/>
          <w:sz w:val="24"/>
          <w:szCs w:val="24"/>
        </w:rPr>
        <w:t>starting up new information sharing arrangements with external partners and negotiating new contracts with suppliers.</w:t>
      </w:r>
    </w:p>
    <w:p w14:paraId="3752EE6B" w14:textId="77777777" w:rsidR="00B04C47" w:rsidRPr="00B04C47" w:rsidRDefault="00B04C47" w:rsidP="00111F24">
      <w:pPr>
        <w:spacing w:after="0" w:line="240" w:lineRule="auto"/>
        <w:rPr>
          <w:rFonts w:ascii="Arial" w:hAnsi="Arial" w:cs="Arial"/>
          <w:sz w:val="24"/>
          <w:szCs w:val="24"/>
        </w:rPr>
      </w:pPr>
    </w:p>
    <w:p w14:paraId="68663EED" w14:textId="77777777" w:rsidR="009C022B" w:rsidRDefault="009C022B" w:rsidP="009C022B">
      <w:pPr>
        <w:spacing w:after="0" w:line="240" w:lineRule="auto"/>
        <w:rPr>
          <w:rFonts w:ascii="Arial" w:hAnsi="Arial" w:cs="Arial"/>
          <w:i/>
          <w:sz w:val="24"/>
          <w:szCs w:val="24"/>
        </w:rPr>
      </w:pPr>
      <w:r>
        <w:rPr>
          <w:rFonts w:ascii="Arial" w:hAnsi="Arial" w:cs="Arial"/>
          <w:i/>
          <w:sz w:val="24"/>
          <w:szCs w:val="24"/>
        </w:rPr>
        <w:t>This guidance</w:t>
      </w:r>
      <w:r w:rsidR="00E8295C" w:rsidRPr="00111F24">
        <w:rPr>
          <w:rFonts w:ascii="Arial" w:hAnsi="Arial" w:cs="Arial"/>
          <w:i/>
          <w:sz w:val="24"/>
          <w:szCs w:val="24"/>
        </w:rPr>
        <w:t xml:space="preserve"> will </w:t>
      </w:r>
      <w:r w:rsidR="004C79B5" w:rsidRPr="00111F24">
        <w:rPr>
          <w:rFonts w:ascii="Arial" w:hAnsi="Arial" w:cs="Arial"/>
          <w:i/>
          <w:sz w:val="24"/>
          <w:szCs w:val="24"/>
        </w:rPr>
        <w:t xml:space="preserve">make clear when a formal Data Protection Impact Assessment </w:t>
      </w:r>
      <w:r>
        <w:rPr>
          <w:rFonts w:ascii="Arial" w:hAnsi="Arial" w:cs="Arial"/>
          <w:i/>
          <w:sz w:val="24"/>
          <w:szCs w:val="24"/>
        </w:rPr>
        <w:t xml:space="preserve">(DPIA) </w:t>
      </w:r>
      <w:r w:rsidR="004C79B5" w:rsidRPr="00111F24">
        <w:rPr>
          <w:rFonts w:ascii="Arial" w:hAnsi="Arial" w:cs="Arial"/>
          <w:i/>
          <w:sz w:val="24"/>
          <w:szCs w:val="24"/>
        </w:rPr>
        <w:t>needs to be undertaken, how to complete it and the next steps.</w:t>
      </w:r>
    </w:p>
    <w:p w14:paraId="63911256" w14:textId="77777777" w:rsidR="009C022B" w:rsidRDefault="009C022B" w:rsidP="009C022B">
      <w:pPr>
        <w:spacing w:after="0" w:line="240" w:lineRule="auto"/>
        <w:rPr>
          <w:rFonts w:ascii="Arial" w:hAnsi="Arial" w:cs="Arial"/>
          <w:b/>
          <w:sz w:val="24"/>
          <w:szCs w:val="24"/>
        </w:rPr>
      </w:pPr>
    </w:p>
    <w:p w14:paraId="1E531304" w14:textId="0D828B83" w:rsidR="00C97817" w:rsidRDefault="005C4FD0" w:rsidP="00C97817">
      <w:pPr>
        <w:pStyle w:val="ListParagraph"/>
        <w:numPr>
          <w:ilvl w:val="0"/>
          <w:numId w:val="10"/>
        </w:numPr>
        <w:spacing w:after="0" w:line="240" w:lineRule="auto"/>
        <w:rPr>
          <w:rFonts w:ascii="Arial" w:hAnsi="Arial" w:cs="Arial"/>
          <w:sz w:val="24"/>
          <w:szCs w:val="24"/>
        </w:rPr>
      </w:pPr>
      <w:r w:rsidRPr="009C022B">
        <w:rPr>
          <w:rFonts w:ascii="Arial" w:hAnsi="Arial" w:cs="Arial"/>
          <w:b/>
          <w:sz w:val="24"/>
          <w:szCs w:val="24"/>
        </w:rPr>
        <w:t>Why do data protection risks matter?</w:t>
      </w:r>
    </w:p>
    <w:p w14:paraId="6220B963" w14:textId="77777777" w:rsidR="00C97817" w:rsidRDefault="00C97817" w:rsidP="00C97817">
      <w:pPr>
        <w:pStyle w:val="ListParagraph"/>
        <w:spacing w:after="0" w:line="240" w:lineRule="auto"/>
        <w:ind w:left="397"/>
        <w:rPr>
          <w:rFonts w:ascii="Arial" w:hAnsi="Arial" w:cs="Arial"/>
          <w:sz w:val="24"/>
          <w:szCs w:val="24"/>
        </w:rPr>
      </w:pPr>
    </w:p>
    <w:p w14:paraId="15780A10" w14:textId="5152F36B" w:rsidR="000A2CC1" w:rsidRPr="00B30ABA" w:rsidRDefault="000A2CC1" w:rsidP="001A716F">
      <w:pPr>
        <w:pStyle w:val="ListParagraph"/>
        <w:numPr>
          <w:ilvl w:val="1"/>
          <w:numId w:val="24"/>
        </w:numPr>
        <w:spacing w:after="0" w:line="240" w:lineRule="auto"/>
        <w:rPr>
          <w:sz w:val="24"/>
          <w:szCs w:val="24"/>
        </w:rPr>
      </w:pPr>
      <w:r w:rsidRPr="001A716F">
        <w:rPr>
          <w:rFonts w:ascii="Arial" w:hAnsi="Arial" w:cs="Arial"/>
          <w:sz w:val="24"/>
          <w:szCs w:val="24"/>
        </w:rPr>
        <w:t>Most of us are familiar with assessing risks in the workplace before embarking upon something new (e.g. financial risks, health and safety or safeguarding</w:t>
      </w:r>
      <w:r w:rsidR="00B30ABA">
        <w:rPr>
          <w:rFonts w:ascii="Arial" w:hAnsi="Arial" w:cs="Arial"/>
          <w:sz w:val="24"/>
          <w:szCs w:val="24"/>
        </w:rPr>
        <w:t xml:space="preserve"> </w:t>
      </w:r>
      <w:r w:rsidRPr="001A716F">
        <w:rPr>
          <w:rFonts w:ascii="Arial" w:hAnsi="Arial" w:cs="Arial"/>
          <w:sz w:val="24"/>
          <w:szCs w:val="24"/>
        </w:rPr>
        <w:t>risks, or risks to a project such as not meeting deadlines or damage to</w:t>
      </w:r>
      <w:r w:rsidR="00B30ABA">
        <w:rPr>
          <w:rFonts w:ascii="Arial" w:hAnsi="Arial" w:cs="Arial"/>
          <w:sz w:val="24"/>
          <w:szCs w:val="24"/>
        </w:rPr>
        <w:t xml:space="preserve"> </w:t>
      </w:r>
      <w:r w:rsidRPr="001A716F">
        <w:rPr>
          <w:rFonts w:ascii="Arial" w:hAnsi="Arial" w:cs="Arial"/>
          <w:sz w:val="24"/>
          <w:szCs w:val="24"/>
        </w:rPr>
        <w:t>customer trust or reputation) and then planning how best to deal with those risks. The aim of this guidance to draw on the skills you already have in risk</w:t>
      </w:r>
      <w:r w:rsidR="00B30ABA">
        <w:rPr>
          <w:rFonts w:ascii="Arial" w:hAnsi="Arial" w:cs="Arial"/>
          <w:sz w:val="24"/>
          <w:szCs w:val="24"/>
        </w:rPr>
        <w:t xml:space="preserve"> </w:t>
      </w:r>
      <w:r w:rsidRPr="001A716F">
        <w:rPr>
          <w:rFonts w:ascii="Arial" w:hAnsi="Arial" w:cs="Arial"/>
          <w:sz w:val="24"/>
          <w:szCs w:val="24"/>
        </w:rPr>
        <w:t>management and apply them to an area that requires</w:t>
      </w:r>
      <w:r w:rsidR="00BC45B7">
        <w:rPr>
          <w:rFonts w:ascii="Arial" w:hAnsi="Arial" w:cs="Arial"/>
          <w:sz w:val="24"/>
          <w:szCs w:val="24"/>
        </w:rPr>
        <w:t xml:space="preserve"> more</w:t>
      </w:r>
      <w:r w:rsidRPr="001A716F">
        <w:rPr>
          <w:rFonts w:ascii="Arial" w:hAnsi="Arial" w:cs="Arial"/>
          <w:sz w:val="24"/>
          <w:szCs w:val="24"/>
        </w:rPr>
        <w:t xml:space="preserve"> specialist</w:t>
      </w:r>
      <w:r w:rsidR="00B30ABA">
        <w:rPr>
          <w:rFonts w:ascii="Arial" w:hAnsi="Arial" w:cs="Arial"/>
          <w:sz w:val="24"/>
          <w:szCs w:val="24"/>
        </w:rPr>
        <w:t xml:space="preserve"> </w:t>
      </w:r>
      <w:r w:rsidRPr="001A716F">
        <w:rPr>
          <w:rFonts w:ascii="Arial" w:hAnsi="Arial" w:cs="Arial"/>
          <w:sz w:val="24"/>
          <w:szCs w:val="24"/>
        </w:rPr>
        <w:t xml:space="preserve">knowledge </w:t>
      </w:r>
      <w:r w:rsidR="00BC45B7">
        <w:rPr>
          <w:rFonts w:ascii="Arial" w:hAnsi="Arial" w:cs="Arial"/>
          <w:sz w:val="24"/>
          <w:szCs w:val="24"/>
        </w:rPr>
        <w:t xml:space="preserve">in relation to </w:t>
      </w:r>
      <w:r w:rsidRPr="001A716F">
        <w:rPr>
          <w:rFonts w:ascii="Arial" w:hAnsi="Arial" w:cs="Arial"/>
          <w:sz w:val="24"/>
          <w:szCs w:val="24"/>
        </w:rPr>
        <w:t>data protection and information security.</w:t>
      </w:r>
    </w:p>
    <w:p w14:paraId="42797E7B" w14:textId="49F615A4" w:rsidR="00B30ABA" w:rsidRPr="00B30ABA" w:rsidRDefault="00B30ABA" w:rsidP="00B30ABA">
      <w:pPr>
        <w:pStyle w:val="ListParagraph"/>
        <w:spacing w:after="0" w:line="240" w:lineRule="auto"/>
        <w:ind w:left="737"/>
        <w:rPr>
          <w:sz w:val="24"/>
          <w:szCs w:val="24"/>
        </w:rPr>
      </w:pPr>
    </w:p>
    <w:p w14:paraId="3926CE65" w14:textId="3B2650A3" w:rsidR="000A2CC1" w:rsidRPr="00B30ABA" w:rsidRDefault="000A2CC1" w:rsidP="00B30ABA">
      <w:pPr>
        <w:pStyle w:val="ListParagraph"/>
        <w:numPr>
          <w:ilvl w:val="1"/>
          <w:numId w:val="24"/>
        </w:numPr>
        <w:spacing w:after="0" w:line="240" w:lineRule="auto"/>
        <w:rPr>
          <w:sz w:val="24"/>
          <w:szCs w:val="24"/>
        </w:rPr>
      </w:pPr>
      <w:r w:rsidRPr="00B30ABA">
        <w:rPr>
          <w:rFonts w:ascii="Arial" w:hAnsi="Arial" w:cs="Arial"/>
          <w:sz w:val="24"/>
          <w:szCs w:val="24"/>
        </w:rPr>
        <w:t xml:space="preserve">How and when we process personal data matters for all of us: </w:t>
      </w:r>
      <w:r w:rsidR="009842D9">
        <w:rPr>
          <w:rFonts w:ascii="Arial" w:hAnsi="Arial" w:cs="Arial"/>
          <w:sz w:val="24"/>
          <w:szCs w:val="24"/>
        </w:rPr>
        <w:t>As</w:t>
      </w:r>
      <w:r w:rsidR="009842D9" w:rsidRPr="00B30ABA">
        <w:rPr>
          <w:rFonts w:ascii="Arial" w:hAnsi="Arial" w:cs="Arial"/>
          <w:sz w:val="24"/>
          <w:szCs w:val="24"/>
        </w:rPr>
        <w:t xml:space="preserve"> </w:t>
      </w:r>
      <w:r w:rsidRPr="00B30ABA">
        <w:rPr>
          <w:rFonts w:ascii="Arial" w:hAnsi="Arial" w:cs="Arial"/>
          <w:sz w:val="24"/>
          <w:szCs w:val="24"/>
        </w:rPr>
        <w:t>a local</w:t>
      </w:r>
      <w:r w:rsidR="00B30ABA">
        <w:rPr>
          <w:rFonts w:ascii="Arial" w:hAnsi="Arial" w:cs="Arial"/>
          <w:sz w:val="24"/>
          <w:szCs w:val="24"/>
        </w:rPr>
        <w:t xml:space="preserve"> </w:t>
      </w:r>
      <w:r w:rsidRPr="00B30ABA">
        <w:rPr>
          <w:rFonts w:ascii="Arial" w:hAnsi="Arial" w:cs="Arial"/>
          <w:sz w:val="24"/>
          <w:szCs w:val="24"/>
        </w:rPr>
        <w:t>authority we need to be particularly attuned to the law before we set up new</w:t>
      </w:r>
      <w:r w:rsidR="00B30ABA">
        <w:rPr>
          <w:rFonts w:ascii="Arial" w:hAnsi="Arial" w:cs="Arial"/>
          <w:sz w:val="24"/>
          <w:szCs w:val="24"/>
        </w:rPr>
        <w:t xml:space="preserve"> </w:t>
      </w:r>
      <w:r w:rsidRPr="00B30ABA">
        <w:rPr>
          <w:rFonts w:ascii="Arial" w:hAnsi="Arial" w:cs="Arial"/>
          <w:sz w:val="24"/>
          <w:szCs w:val="24"/>
        </w:rPr>
        <w:t>services because of the sensitivity and breadth of the data we hold on</w:t>
      </w:r>
      <w:r w:rsidR="00B30ABA">
        <w:rPr>
          <w:sz w:val="24"/>
          <w:szCs w:val="24"/>
        </w:rPr>
        <w:t xml:space="preserve"> </w:t>
      </w:r>
      <w:r w:rsidRPr="00B30ABA">
        <w:rPr>
          <w:rFonts w:ascii="Arial" w:hAnsi="Arial" w:cs="Arial"/>
          <w:sz w:val="24"/>
          <w:szCs w:val="24"/>
        </w:rPr>
        <w:t>customers, clients, patients &amp; residents. Getting it wrong can have serious</w:t>
      </w:r>
      <w:r w:rsidR="00B30ABA">
        <w:rPr>
          <w:rFonts w:ascii="Arial" w:hAnsi="Arial" w:cs="Arial"/>
          <w:sz w:val="24"/>
          <w:szCs w:val="24"/>
        </w:rPr>
        <w:t xml:space="preserve"> </w:t>
      </w:r>
      <w:r w:rsidRPr="00B30ABA">
        <w:rPr>
          <w:rFonts w:ascii="Arial" w:hAnsi="Arial" w:cs="Arial"/>
          <w:sz w:val="24"/>
          <w:szCs w:val="24"/>
        </w:rPr>
        <w:t>consequences for</w:t>
      </w:r>
      <w:r w:rsidR="00BC45B7">
        <w:rPr>
          <w:rFonts w:ascii="Arial" w:hAnsi="Arial" w:cs="Arial"/>
          <w:sz w:val="24"/>
          <w:szCs w:val="24"/>
        </w:rPr>
        <w:t xml:space="preserve"> individuals </w:t>
      </w:r>
      <w:r w:rsidRPr="00B30ABA">
        <w:rPr>
          <w:rFonts w:ascii="Arial" w:hAnsi="Arial" w:cs="Arial"/>
          <w:sz w:val="24"/>
          <w:szCs w:val="24"/>
        </w:rPr>
        <w:t xml:space="preserve">such as erosion of privacy, financial loss or even actual physical/mental harm. There are consequences too for </w:t>
      </w:r>
      <w:r w:rsidR="00BC45B7">
        <w:rPr>
          <w:rFonts w:ascii="Arial" w:hAnsi="Arial" w:cs="Arial"/>
          <w:sz w:val="24"/>
          <w:szCs w:val="24"/>
        </w:rPr>
        <w:t>organisations and individuals processing personal data</w:t>
      </w:r>
      <w:r w:rsidRPr="00B30ABA">
        <w:rPr>
          <w:rFonts w:ascii="Arial" w:hAnsi="Arial" w:cs="Arial"/>
          <w:sz w:val="24"/>
          <w:szCs w:val="24"/>
        </w:rPr>
        <w:t xml:space="preserve"> in terms of regulator action</w:t>
      </w:r>
      <w:r w:rsidR="00BC45B7">
        <w:rPr>
          <w:rStyle w:val="FootnoteReference"/>
          <w:rFonts w:ascii="Arial" w:hAnsi="Arial" w:cs="Arial"/>
          <w:sz w:val="24"/>
          <w:szCs w:val="24"/>
        </w:rPr>
        <w:footnoteReference w:id="2"/>
      </w:r>
      <w:r w:rsidRPr="00B30ABA">
        <w:rPr>
          <w:rFonts w:ascii="Arial" w:hAnsi="Arial" w:cs="Arial"/>
          <w:sz w:val="24"/>
          <w:szCs w:val="24"/>
        </w:rPr>
        <w:t xml:space="preserve"> (including significant fines) and most importantly lasting damage to reputation and our ability to gain trust from</w:t>
      </w:r>
      <w:r w:rsidR="00B30ABA">
        <w:rPr>
          <w:rFonts w:ascii="Arial" w:hAnsi="Arial" w:cs="Arial"/>
          <w:sz w:val="24"/>
          <w:szCs w:val="24"/>
        </w:rPr>
        <w:t xml:space="preserve"> </w:t>
      </w:r>
      <w:r w:rsidRPr="00B30ABA">
        <w:rPr>
          <w:rFonts w:ascii="Arial" w:hAnsi="Arial" w:cs="Arial"/>
          <w:sz w:val="24"/>
          <w:szCs w:val="24"/>
        </w:rPr>
        <w:t>people in Suffolk.</w:t>
      </w:r>
    </w:p>
    <w:p w14:paraId="63DC2CFD" w14:textId="77777777" w:rsidR="000A2CC1" w:rsidRPr="000A2CC1" w:rsidRDefault="000A2CC1" w:rsidP="000A2CC1">
      <w:pPr>
        <w:pStyle w:val="ListParagraph"/>
        <w:spacing w:after="0" w:line="240" w:lineRule="auto"/>
        <w:ind w:left="0"/>
        <w:rPr>
          <w:rFonts w:ascii="Arial" w:hAnsi="Arial" w:cs="Arial"/>
          <w:sz w:val="24"/>
          <w:szCs w:val="24"/>
        </w:rPr>
      </w:pPr>
    </w:p>
    <w:p w14:paraId="31AF572D" w14:textId="4282CCE7" w:rsidR="009E62BF" w:rsidRPr="000E22CB" w:rsidRDefault="17188259" w:rsidP="000E22CB">
      <w:pPr>
        <w:pStyle w:val="ListParagraph"/>
        <w:numPr>
          <w:ilvl w:val="0"/>
          <w:numId w:val="10"/>
        </w:numPr>
        <w:spacing w:after="0" w:line="240" w:lineRule="auto"/>
        <w:rPr>
          <w:rFonts w:ascii="Arial" w:hAnsi="Arial" w:cs="Arial"/>
          <w:sz w:val="24"/>
          <w:szCs w:val="24"/>
        </w:rPr>
      </w:pPr>
      <w:r w:rsidRPr="17188259">
        <w:rPr>
          <w:rFonts w:ascii="Arial" w:hAnsi="Arial" w:cs="Arial"/>
          <w:b/>
          <w:bCs/>
          <w:sz w:val="24"/>
          <w:szCs w:val="24"/>
        </w:rPr>
        <w:t>Processing and sharing personal data must continue</w:t>
      </w:r>
    </w:p>
    <w:p w14:paraId="2EFB97BB" w14:textId="04F8A44C" w:rsidR="000E22CB" w:rsidRDefault="000E22CB" w:rsidP="000E22CB">
      <w:pPr>
        <w:pStyle w:val="ListParagraph"/>
        <w:spacing w:after="0" w:line="240" w:lineRule="auto"/>
        <w:ind w:left="680"/>
        <w:rPr>
          <w:rFonts w:ascii="Arial" w:hAnsi="Arial" w:cs="Arial"/>
          <w:sz w:val="24"/>
          <w:szCs w:val="24"/>
        </w:rPr>
      </w:pPr>
    </w:p>
    <w:p w14:paraId="51C3B666" w14:textId="2131BE98" w:rsidR="000E22CB" w:rsidRPr="00B04DB0" w:rsidRDefault="000E22CB" w:rsidP="00B04DB0">
      <w:pPr>
        <w:pStyle w:val="ListParagraph"/>
        <w:numPr>
          <w:ilvl w:val="1"/>
          <w:numId w:val="25"/>
        </w:numPr>
        <w:spacing w:after="0" w:line="240" w:lineRule="auto"/>
        <w:rPr>
          <w:rFonts w:ascii="Arial" w:hAnsi="Arial" w:cs="Arial"/>
          <w:sz w:val="24"/>
          <w:szCs w:val="24"/>
        </w:rPr>
      </w:pPr>
      <w:r w:rsidRPr="00B30ABA">
        <w:rPr>
          <w:rFonts w:ascii="Arial" w:hAnsi="Arial" w:cs="Arial"/>
          <w:sz w:val="24"/>
          <w:szCs w:val="24"/>
        </w:rPr>
        <w:t xml:space="preserve">The area of data protection can be daunting. But the existence of risks –including the threat of regulator action - should not be used as an excuse to ‘batten down the hatches’ and be </w:t>
      </w:r>
      <w:r w:rsidR="0037487B" w:rsidRPr="00B30ABA">
        <w:rPr>
          <w:rFonts w:ascii="Arial" w:hAnsi="Arial" w:cs="Arial"/>
          <w:sz w:val="24"/>
          <w:szCs w:val="24"/>
        </w:rPr>
        <w:t>over</w:t>
      </w:r>
      <w:r w:rsidR="0037487B">
        <w:rPr>
          <w:rFonts w:ascii="Arial" w:hAnsi="Arial" w:cs="Arial"/>
          <w:sz w:val="24"/>
          <w:szCs w:val="24"/>
        </w:rPr>
        <w:t>-</w:t>
      </w:r>
      <w:r w:rsidRPr="00B30ABA">
        <w:rPr>
          <w:rFonts w:ascii="Arial" w:hAnsi="Arial" w:cs="Arial"/>
          <w:sz w:val="24"/>
          <w:szCs w:val="24"/>
        </w:rPr>
        <w:t>protective with personal data. There is more need than ever to use customer personal data and share</w:t>
      </w:r>
      <w:r w:rsidR="0037487B">
        <w:rPr>
          <w:rFonts w:ascii="Arial" w:hAnsi="Arial" w:cs="Arial"/>
          <w:sz w:val="24"/>
          <w:szCs w:val="24"/>
        </w:rPr>
        <w:t xml:space="preserve"> it</w:t>
      </w:r>
      <w:r w:rsidRPr="00B30ABA">
        <w:rPr>
          <w:rFonts w:ascii="Arial" w:hAnsi="Arial" w:cs="Arial"/>
          <w:sz w:val="24"/>
          <w:szCs w:val="24"/>
        </w:rPr>
        <w:t xml:space="preserve"> with partners in </w:t>
      </w:r>
      <w:r w:rsidR="0037487B">
        <w:rPr>
          <w:rFonts w:ascii="Arial" w:hAnsi="Arial" w:cs="Arial"/>
          <w:sz w:val="24"/>
          <w:szCs w:val="24"/>
        </w:rPr>
        <w:t xml:space="preserve">the </w:t>
      </w:r>
      <w:r w:rsidRPr="00B30ABA">
        <w:rPr>
          <w:rFonts w:ascii="Arial" w:hAnsi="Arial" w:cs="Arial"/>
          <w:sz w:val="24"/>
          <w:szCs w:val="24"/>
        </w:rPr>
        <w:t xml:space="preserve">public sector </w:t>
      </w:r>
      <w:r w:rsidR="0037487B">
        <w:rPr>
          <w:rFonts w:ascii="Arial" w:hAnsi="Arial" w:cs="Arial"/>
          <w:sz w:val="24"/>
          <w:szCs w:val="24"/>
        </w:rPr>
        <w:t>in order</w:t>
      </w:r>
      <w:r w:rsidR="00B04DB0">
        <w:rPr>
          <w:rFonts w:ascii="Arial" w:hAnsi="Arial" w:cs="Arial"/>
          <w:sz w:val="24"/>
          <w:szCs w:val="24"/>
        </w:rPr>
        <w:t xml:space="preserve"> </w:t>
      </w:r>
      <w:r w:rsidRPr="00B30ABA">
        <w:rPr>
          <w:rFonts w:ascii="Arial" w:hAnsi="Arial" w:cs="Arial"/>
          <w:sz w:val="24"/>
          <w:szCs w:val="24"/>
        </w:rPr>
        <w:t>to provide better and safe</w:t>
      </w:r>
      <w:r w:rsidR="0037487B">
        <w:rPr>
          <w:rFonts w:ascii="Arial" w:hAnsi="Arial" w:cs="Arial"/>
          <w:sz w:val="24"/>
          <w:szCs w:val="24"/>
        </w:rPr>
        <w:t>r</w:t>
      </w:r>
      <w:r w:rsidRPr="00B30ABA">
        <w:rPr>
          <w:rFonts w:ascii="Arial" w:hAnsi="Arial" w:cs="Arial"/>
          <w:sz w:val="24"/>
          <w:szCs w:val="24"/>
        </w:rPr>
        <w:t xml:space="preserve"> services. We have a </w:t>
      </w:r>
      <w:r w:rsidR="00B04DB0">
        <w:rPr>
          <w:rFonts w:ascii="Arial" w:hAnsi="Arial" w:cs="Arial"/>
          <w:sz w:val="24"/>
          <w:szCs w:val="24"/>
        </w:rPr>
        <w:t>legal and financial</w:t>
      </w:r>
      <w:r w:rsidRPr="00B30ABA">
        <w:rPr>
          <w:rFonts w:ascii="Arial" w:hAnsi="Arial" w:cs="Arial"/>
          <w:sz w:val="24"/>
          <w:szCs w:val="24"/>
        </w:rPr>
        <w:t xml:space="preserve"> duty to make best use of data for the public benefit not just to uphold the right level of privacy. Given the statutory and public tasks that </w:t>
      </w:r>
      <w:r w:rsidR="00B04DB0">
        <w:rPr>
          <w:rFonts w:ascii="Arial" w:hAnsi="Arial" w:cs="Arial"/>
          <w:sz w:val="24"/>
          <w:szCs w:val="24"/>
        </w:rPr>
        <w:lastRenderedPageBreak/>
        <w:t xml:space="preserve">public bodies </w:t>
      </w:r>
      <w:r w:rsidRPr="00B30ABA">
        <w:rPr>
          <w:rFonts w:ascii="Arial" w:hAnsi="Arial" w:cs="Arial"/>
          <w:sz w:val="24"/>
          <w:szCs w:val="24"/>
        </w:rPr>
        <w:t>do, it is</w:t>
      </w:r>
      <w:r w:rsidR="000526E7">
        <w:rPr>
          <w:rFonts w:ascii="Arial" w:hAnsi="Arial" w:cs="Arial"/>
          <w:sz w:val="24"/>
          <w:szCs w:val="24"/>
        </w:rPr>
        <w:t xml:space="preserve"> </w:t>
      </w:r>
      <w:r w:rsidRPr="00B30ABA">
        <w:rPr>
          <w:rFonts w:ascii="Arial" w:hAnsi="Arial" w:cs="Arial"/>
          <w:sz w:val="24"/>
          <w:szCs w:val="24"/>
        </w:rPr>
        <w:t>more common for us to consider ‘how do we share’ rather than ‘should we share’.</w:t>
      </w:r>
    </w:p>
    <w:p w14:paraId="1CB794A4" w14:textId="77777777" w:rsidR="000E22CB" w:rsidRPr="000E22CB" w:rsidRDefault="000E22CB" w:rsidP="000E22CB">
      <w:pPr>
        <w:pStyle w:val="ListParagraph"/>
        <w:spacing w:after="0" w:line="240" w:lineRule="auto"/>
        <w:ind w:left="680"/>
        <w:rPr>
          <w:rFonts w:ascii="Arial" w:hAnsi="Arial" w:cs="Arial"/>
          <w:sz w:val="24"/>
          <w:szCs w:val="24"/>
        </w:rPr>
      </w:pPr>
    </w:p>
    <w:p w14:paraId="346CDADE" w14:textId="25C828BA" w:rsidR="009E62BF" w:rsidRPr="00FE62D7" w:rsidRDefault="17188259" w:rsidP="00FE62D7">
      <w:pPr>
        <w:pStyle w:val="ListParagraph"/>
        <w:numPr>
          <w:ilvl w:val="0"/>
          <w:numId w:val="10"/>
        </w:numPr>
        <w:spacing w:after="0" w:line="240" w:lineRule="auto"/>
        <w:rPr>
          <w:rFonts w:ascii="Arial" w:hAnsi="Arial" w:cs="Arial"/>
          <w:sz w:val="24"/>
          <w:szCs w:val="24"/>
        </w:rPr>
      </w:pPr>
      <w:r w:rsidRPr="17188259">
        <w:rPr>
          <w:rFonts w:ascii="Arial" w:hAnsi="Arial" w:cs="Arial"/>
          <w:b/>
          <w:bCs/>
          <w:sz w:val="24"/>
          <w:szCs w:val="24"/>
        </w:rPr>
        <w:t xml:space="preserve">Who should be </w:t>
      </w:r>
      <w:r w:rsidR="00B04DB0">
        <w:rPr>
          <w:rFonts w:ascii="Arial" w:hAnsi="Arial" w:cs="Arial"/>
          <w:b/>
          <w:bCs/>
          <w:sz w:val="24"/>
          <w:szCs w:val="24"/>
        </w:rPr>
        <w:t>completing</w:t>
      </w:r>
      <w:r w:rsidRPr="17188259">
        <w:rPr>
          <w:rFonts w:ascii="Arial" w:hAnsi="Arial" w:cs="Arial"/>
          <w:b/>
          <w:bCs/>
          <w:sz w:val="24"/>
          <w:szCs w:val="24"/>
        </w:rPr>
        <w:t xml:space="preserve"> data protection risk assessment</w:t>
      </w:r>
      <w:r w:rsidR="00305F2D">
        <w:rPr>
          <w:rFonts w:ascii="Arial" w:hAnsi="Arial" w:cs="Arial"/>
          <w:b/>
          <w:bCs/>
          <w:sz w:val="24"/>
          <w:szCs w:val="24"/>
        </w:rPr>
        <w:t>s</w:t>
      </w:r>
      <w:r w:rsidRPr="17188259">
        <w:rPr>
          <w:rFonts w:ascii="Arial" w:hAnsi="Arial" w:cs="Arial"/>
          <w:b/>
          <w:bCs/>
          <w:sz w:val="24"/>
          <w:szCs w:val="24"/>
        </w:rPr>
        <w:t>?</w:t>
      </w:r>
    </w:p>
    <w:p w14:paraId="6252B155" w14:textId="1969E5D2" w:rsidR="00FE62D7" w:rsidRDefault="00FE62D7" w:rsidP="00FE62D7">
      <w:pPr>
        <w:pStyle w:val="ListParagraph"/>
        <w:spacing w:after="0" w:line="240" w:lineRule="auto"/>
        <w:ind w:left="680"/>
        <w:rPr>
          <w:rFonts w:ascii="Arial" w:hAnsi="Arial" w:cs="Arial"/>
          <w:sz w:val="24"/>
          <w:szCs w:val="24"/>
        </w:rPr>
      </w:pPr>
    </w:p>
    <w:p w14:paraId="7500A1D9" w14:textId="65CF9163" w:rsidR="00C94ACE" w:rsidRDefault="00C94ACE" w:rsidP="000526E7">
      <w:pPr>
        <w:pStyle w:val="ListParagraph"/>
        <w:numPr>
          <w:ilvl w:val="1"/>
          <w:numId w:val="27"/>
        </w:numPr>
        <w:spacing w:after="0" w:line="240" w:lineRule="auto"/>
        <w:rPr>
          <w:rFonts w:ascii="Arial" w:hAnsi="Arial" w:cs="Arial"/>
          <w:sz w:val="24"/>
          <w:szCs w:val="24"/>
        </w:rPr>
      </w:pPr>
      <w:r w:rsidRPr="000526E7">
        <w:rPr>
          <w:rFonts w:ascii="Arial" w:hAnsi="Arial" w:cs="Arial"/>
          <w:sz w:val="24"/>
          <w:szCs w:val="24"/>
        </w:rPr>
        <w:t>It is essential that risk assessment</w:t>
      </w:r>
      <w:r w:rsidR="00742497">
        <w:rPr>
          <w:rFonts w:ascii="Arial" w:hAnsi="Arial" w:cs="Arial"/>
          <w:sz w:val="24"/>
          <w:szCs w:val="24"/>
        </w:rPr>
        <w:t>s</w:t>
      </w:r>
      <w:r w:rsidRPr="000526E7">
        <w:rPr>
          <w:rFonts w:ascii="Arial" w:hAnsi="Arial" w:cs="Arial"/>
          <w:sz w:val="24"/>
          <w:szCs w:val="24"/>
        </w:rPr>
        <w:t xml:space="preserve"> </w:t>
      </w:r>
      <w:r w:rsidR="00742497">
        <w:rPr>
          <w:rFonts w:ascii="Arial" w:hAnsi="Arial" w:cs="Arial"/>
          <w:sz w:val="24"/>
          <w:szCs w:val="24"/>
        </w:rPr>
        <w:t>are</w:t>
      </w:r>
      <w:r w:rsidRPr="000526E7">
        <w:rPr>
          <w:rFonts w:ascii="Arial" w:hAnsi="Arial" w:cs="Arial"/>
          <w:sz w:val="24"/>
          <w:szCs w:val="24"/>
        </w:rPr>
        <w:t xml:space="preserve"> undertaken by (or under the direct supervision of) the persons who are the owners of the data assets in scope of the project/service. It is ultimately these persons who will be held accountable within the organisation. More accurately by saying ‘persons’ we mean the official role that someone </w:t>
      </w:r>
      <w:r w:rsidR="00742497">
        <w:rPr>
          <w:rFonts w:ascii="Arial" w:hAnsi="Arial" w:cs="Arial"/>
          <w:sz w:val="24"/>
          <w:szCs w:val="24"/>
        </w:rPr>
        <w:t>holds</w:t>
      </w:r>
      <w:r w:rsidRPr="000526E7">
        <w:rPr>
          <w:rFonts w:ascii="Arial" w:hAnsi="Arial" w:cs="Arial"/>
          <w:sz w:val="24"/>
          <w:szCs w:val="24"/>
        </w:rPr>
        <w:t xml:space="preserve"> that makes them responsible (e.g. whoever moves into the role of </w:t>
      </w:r>
      <w:r w:rsidR="00891B6A">
        <w:rPr>
          <w:rFonts w:ascii="Arial" w:hAnsi="Arial" w:cs="Arial"/>
          <w:sz w:val="24"/>
          <w:szCs w:val="24"/>
        </w:rPr>
        <w:t>H</w:t>
      </w:r>
      <w:r w:rsidRPr="000526E7">
        <w:rPr>
          <w:rFonts w:ascii="Arial" w:hAnsi="Arial" w:cs="Arial"/>
          <w:sz w:val="24"/>
          <w:szCs w:val="24"/>
        </w:rPr>
        <w:t xml:space="preserve">ead of </w:t>
      </w:r>
      <w:r w:rsidR="00891B6A">
        <w:rPr>
          <w:rFonts w:ascii="Arial" w:hAnsi="Arial" w:cs="Arial"/>
          <w:sz w:val="24"/>
          <w:szCs w:val="24"/>
        </w:rPr>
        <w:t>S</w:t>
      </w:r>
      <w:r w:rsidRPr="000526E7">
        <w:rPr>
          <w:rFonts w:ascii="Arial" w:hAnsi="Arial" w:cs="Arial"/>
          <w:sz w:val="24"/>
          <w:szCs w:val="24"/>
        </w:rPr>
        <w:t xml:space="preserve">ervice or </w:t>
      </w:r>
      <w:r w:rsidR="00891B6A">
        <w:rPr>
          <w:rFonts w:ascii="Arial" w:hAnsi="Arial" w:cs="Arial"/>
          <w:sz w:val="24"/>
          <w:szCs w:val="24"/>
        </w:rPr>
        <w:t>D</w:t>
      </w:r>
      <w:r w:rsidRPr="000526E7">
        <w:rPr>
          <w:rFonts w:ascii="Arial" w:hAnsi="Arial" w:cs="Arial"/>
          <w:sz w:val="24"/>
          <w:szCs w:val="24"/>
        </w:rPr>
        <w:t xml:space="preserve">irector may find that they are an information asset owner because the management chain has </w:t>
      </w:r>
      <w:r w:rsidR="00742497">
        <w:rPr>
          <w:rFonts w:ascii="Arial" w:hAnsi="Arial" w:cs="Arial"/>
          <w:sz w:val="24"/>
          <w:szCs w:val="24"/>
        </w:rPr>
        <w:t>established</w:t>
      </w:r>
      <w:r w:rsidR="00742497" w:rsidRPr="000526E7">
        <w:rPr>
          <w:rFonts w:ascii="Arial" w:hAnsi="Arial" w:cs="Arial"/>
          <w:sz w:val="24"/>
          <w:szCs w:val="24"/>
        </w:rPr>
        <w:t xml:space="preserve"> </w:t>
      </w:r>
      <w:r w:rsidRPr="000526E7">
        <w:rPr>
          <w:rFonts w:ascii="Arial" w:hAnsi="Arial" w:cs="Arial"/>
          <w:sz w:val="24"/>
          <w:szCs w:val="24"/>
        </w:rPr>
        <w:t>this to be the case).</w:t>
      </w:r>
    </w:p>
    <w:p w14:paraId="5D601E8D" w14:textId="4B80E927" w:rsidR="000526E7" w:rsidRDefault="000526E7" w:rsidP="000526E7">
      <w:pPr>
        <w:pStyle w:val="ListParagraph"/>
        <w:spacing w:after="0" w:line="240" w:lineRule="auto"/>
        <w:ind w:left="737"/>
        <w:rPr>
          <w:rFonts w:ascii="Arial" w:hAnsi="Arial" w:cs="Arial"/>
          <w:sz w:val="24"/>
          <w:szCs w:val="24"/>
        </w:rPr>
      </w:pPr>
    </w:p>
    <w:p w14:paraId="344E07A8" w14:textId="50EA1AE9" w:rsidR="00C94ACE" w:rsidRDefault="00C94ACE" w:rsidP="00C94ACE">
      <w:pPr>
        <w:pStyle w:val="ListParagraph"/>
        <w:numPr>
          <w:ilvl w:val="1"/>
          <w:numId w:val="27"/>
        </w:numPr>
        <w:spacing w:after="0" w:line="240" w:lineRule="auto"/>
        <w:rPr>
          <w:rFonts w:ascii="Arial" w:hAnsi="Arial" w:cs="Arial"/>
          <w:sz w:val="24"/>
          <w:szCs w:val="24"/>
        </w:rPr>
      </w:pPr>
      <w:r w:rsidRPr="000526E7">
        <w:rPr>
          <w:rFonts w:ascii="Arial" w:hAnsi="Arial" w:cs="Arial"/>
          <w:sz w:val="24"/>
          <w:szCs w:val="24"/>
        </w:rPr>
        <w:t>In the case of projects, the project manager is the instrument of the overall project board and is generally not responsible for any information assets and ongoing management of the personal and other data. Sometimes objectivity can be lost as the project manager has a vested interest in cutting through what can be perceived as ‘compliance tick-box hurdles.’</w:t>
      </w:r>
    </w:p>
    <w:p w14:paraId="06B83922" w14:textId="64747835" w:rsidR="000526E7" w:rsidRDefault="000526E7" w:rsidP="000526E7">
      <w:pPr>
        <w:pStyle w:val="ListParagraph"/>
        <w:spacing w:after="0" w:line="240" w:lineRule="auto"/>
        <w:ind w:left="737"/>
        <w:rPr>
          <w:rFonts w:ascii="Arial" w:hAnsi="Arial" w:cs="Arial"/>
          <w:sz w:val="24"/>
          <w:szCs w:val="24"/>
        </w:rPr>
      </w:pPr>
    </w:p>
    <w:p w14:paraId="30887B65" w14:textId="3E822958" w:rsidR="00C94ACE" w:rsidRPr="000526E7" w:rsidRDefault="00C94ACE" w:rsidP="00C94ACE">
      <w:pPr>
        <w:pStyle w:val="ListParagraph"/>
        <w:numPr>
          <w:ilvl w:val="1"/>
          <w:numId w:val="27"/>
        </w:numPr>
        <w:spacing w:after="0" w:line="240" w:lineRule="auto"/>
        <w:rPr>
          <w:rFonts w:ascii="Arial" w:hAnsi="Arial" w:cs="Arial"/>
          <w:sz w:val="24"/>
          <w:szCs w:val="24"/>
        </w:rPr>
      </w:pPr>
      <w:r w:rsidRPr="000526E7">
        <w:rPr>
          <w:rFonts w:ascii="Arial" w:hAnsi="Arial" w:cs="Arial"/>
          <w:sz w:val="24"/>
          <w:szCs w:val="24"/>
        </w:rPr>
        <w:t>A project manager can play a</w:t>
      </w:r>
      <w:r w:rsidR="00003815">
        <w:rPr>
          <w:rFonts w:ascii="Arial" w:hAnsi="Arial" w:cs="Arial"/>
          <w:sz w:val="24"/>
          <w:szCs w:val="24"/>
        </w:rPr>
        <w:t>n</w:t>
      </w:r>
      <w:r w:rsidRPr="000526E7">
        <w:rPr>
          <w:rFonts w:ascii="Arial" w:hAnsi="Arial" w:cs="Arial"/>
          <w:sz w:val="24"/>
          <w:szCs w:val="24"/>
        </w:rPr>
        <w:t xml:space="preserve"> important role in completing parts of an impact assessment, but it will need to be a collaborative venture with input from the asset owner (or his/her operational lead), Data Protection Officer</w:t>
      </w:r>
      <w:r w:rsidR="00FA1212">
        <w:rPr>
          <w:rFonts w:ascii="Arial" w:hAnsi="Arial" w:cs="Arial"/>
          <w:sz w:val="24"/>
          <w:szCs w:val="24"/>
        </w:rPr>
        <w:t xml:space="preserve"> (DPO)</w:t>
      </w:r>
      <w:r w:rsidRPr="000526E7">
        <w:rPr>
          <w:rFonts w:ascii="Arial" w:hAnsi="Arial" w:cs="Arial"/>
          <w:sz w:val="24"/>
          <w:szCs w:val="24"/>
        </w:rPr>
        <w:t>, IT, suppliers</w:t>
      </w:r>
      <w:r w:rsidR="00FA1212">
        <w:rPr>
          <w:rFonts w:ascii="Arial" w:hAnsi="Arial" w:cs="Arial"/>
          <w:sz w:val="24"/>
          <w:szCs w:val="24"/>
        </w:rPr>
        <w:t>, other interested parties or stakeholders.</w:t>
      </w:r>
    </w:p>
    <w:p w14:paraId="11DE37BB" w14:textId="77777777" w:rsidR="00FE62D7" w:rsidRPr="00FE62D7" w:rsidRDefault="00FE62D7" w:rsidP="00FE62D7">
      <w:pPr>
        <w:pStyle w:val="ListParagraph"/>
        <w:spacing w:after="0" w:line="240" w:lineRule="auto"/>
        <w:ind w:left="680"/>
        <w:rPr>
          <w:rFonts w:ascii="Arial" w:hAnsi="Arial" w:cs="Arial"/>
          <w:sz w:val="24"/>
          <w:szCs w:val="24"/>
        </w:rPr>
      </w:pPr>
    </w:p>
    <w:p w14:paraId="3D96410E" w14:textId="7E4D10E8" w:rsidR="00625CCA" w:rsidRPr="00F64CEB" w:rsidRDefault="17188259" w:rsidP="00F64CEB">
      <w:pPr>
        <w:pStyle w:val="ListParagraph"/>
        <w:numPr>
          <w:ilvl w:val="0"/>
          <w:numId w:val="10"/>
        </w:numPr>
        <w:spacing w:after="0" w:line="240" w:lineRule="auto"/>
        <w:rPr>
          <w:rFonts w:ascii="Arial" w:hAnsi="Arial" w:cs="Arial"/>
          <w:sz w:val="24"/>
          <w:szCs w:val="24"/>
        </w:rPr>
      </w:pPr>
      <w:r w:rsidRPr="17188259">
        <w:rPr>
          <w:rFonts w:ascii="Arial" w:hAnsi="Arial" w:cs="Arial"/>
          <w:b/>
          <w:bCs/>
          <w:sz w:val="24"/>
          <w:szCs w:val="24"/>
        </w:rPr>
        <w:t>What is information risk assessment?</w:t>
      </w:r>
    </w:p>
    <w:p w14:paraId="33565860" w14:textId="77777777" w:rsidR="002E1C81" w:rsidRDefault="002E1C81" w:rsidP="00F64CEB">
      <w:pPr>
        <w:spacing w:after="0" w:line="240" w:lineRule="auto"/>
        <w:rPr>
          <w:rFonts w:ascii="Arial" w:hAnsi="Arial" w:cs="Arial"/>
          <w:sz w:val="24"/>
          <w:szCs w:val="24"/>
        </w:rPr>
      </w:pPr>
    </w:p>
    <w:p w14:paraId="6DAF3670" w14:textId="762558CD" w:rsidR="00F64CEB" w:rsidRPr="000526E7" w:rsidRDefault="00F64CEB" w:rsidP="000526E7">
      <w:pPr>
        <w:pStyle w:val="ListParagraph"/>
        <w:numPr>
          <w:ilvl w:val="1"/>
          <w:numId w:val="28"/>
        </w:numPr>
        <w:spacing w:after="0" w:line="240" w:lineRule="auto"/>
        <w:rPr>
          <w:rFonts w:ascii="Arial" w:hAnsi="Arial" w:cs="Arial"/>
          <w:sz w:val="24"/>
          <w:szCs w:val="24"/>
        </w:rPr>
      </w:pPr>
      <w:r w:rsidRPr="000526E7">
        <w:rPr>
          <w:rFonts w:ascii="Arial" w:hAnsi="Arial" w:cs="Arial"/>
          <w:sz w:val="24"/>
          <w:szCs w:val="24"/>
        </w:rPr>
        <w:t xml:space="preserve">Information risk assessment is not just about filling in a standard form for everything. </w:t>
      </w:r>
      <w:r w:rsidR="002E1C81" w:rsidRPr="000526E7">
        <w:rPr>
          <w:rFonts w:ascii="Arial" w:hAnsi="Arial" w:cs="Arial"/>
          <w:sz w:val="24"/>
          <w:szCs w:val="24"/>
        </w:rPr>
        <w:t xml:space="preserve"> </w:t>
      </w:r>
      <w:r w:rsidRPr="000526E7">
        <w:rPr>
          <w:rFonts w:ascii="Arial" w:hAnsi="Arial" w:cs="Arial"/>
          <w:sz w:val="24"/>
          <w:szCs w:val="24"/>
        </w:rPr>
        <w:t xml:space="preserve">We need to </w:t>
      </w:r>
      <w:r w:rsidR="00FA1212">
        <w:rPr>
          <w:rFonts w:ascii="Arial" w:hAnsi="Arial" w:cs="Arial"/>
          <w:sz w:val="24"/>
          <w:szCs w:val="24"/>
        </w:rPr>
        <w:t>build</w:t>
      </w:r>
      <w:r w:rsidRPr="000526E7">
        <w:rPr>
          <w:rFonts w:ascii="Arial" w:hAnsi="Arial" w:cs="Arial"/>
          <w:sz w:val="24"/>
          <w:szCs w:val="24"/>
        </w:rPr>
        <w:t xml:space="preserve"> </w:t>
      </w:r>
      <w:r w:rsidR="006936FC">
        <w:rPr>
          <w:rFonts w:ascii="Arial" w:hAnsi="Arial" w:cs="Arial"/>
          <w:sz w:val="24"/>
          <w:szCs w:val="24"/>
        </w:rPr>
        <w:t>simple</w:t>
      </w:r>
      <w:r w:rsidRPr="000526E7">
        <w:rPr>
          <w:rFonts w:ascii="Arial" w:hAnsi="Arial" w:cs="Arial"/>
          <w:sz w:val="24"/>
          <w:szCs w:val="24"/>
        </w:rPr>
        <w:t xml:space="preserve"> risk assessment and management tasks </w:t>
      </w:r>
      <w:r w:rsidR="00003815">
        <w:rPr>
          <w:rFonts w:ascii="Arial" w:hAnsi="Arial" w:cs="Arial"/>
          <w:sz w:val="24"/>
          <w:szCs w:val="24"/>
        </w:rPr>
        <w:t>in</w:t>
      </w:r>
      <w:r w:rsidRPr="000526E7">
        <w:rPr>
          <w:rFonts w:ascii="Arial" w:hAnsi="Arial" w:cs="Arial"/>
          <w:sz w:val="24"/>
          <w:szCs w:val="24"/>
        </w:rPr>
        <w:t>to everything we do. These include:</w:t>
      </w:r>
    </w:p>
    <w:p w14:paraId="660191C6" w14:textId="65425828" w:rsidR="002E1C81" w:rsidRDefault="002E1C81" w:rsidP="00F64CEB">
      <w:pPr>
        <w:spacing w:after="0" w:line="240" w:lineRule="auto"/>
        <w:rPr>
          <w:rFonts w:ascii="Arial" w:hAnsi="Arial" w:cs="Arial"/>
          <w:sz w:val="24"/>
          <w:szCs w:val="24"/>
        </w:rPr>
      </w:pPr>
    </w:p>
    <w:p w14:paraId="75C84CF7" w14:textId="742AC708" w:rsidR="00F64CEB" w:rsidRDefault="00103BAD" w:rsidP="002E1C81">
      <w:pPr>
        <w:pStyle w:val="ListParagraph"/>
        <w:numPr>
          <w:ilvl w:val="0"/>
          <w:numId w:val="12"/>
        </w:numPr>
        <w:spacing w:after="0" w:line="240" w:lineRule="auto"/>
        <w:rPr>
          <w:rFonts w:ascii="Arial" w:hAnsi="Arial" w:cs="Arial"/>
          <w:sz w:val="24"/>
          <w:szCs w:val="24"/>
        </w:rPr>
      </w:pPr>
      <w:r>
        <w:rPr>
          <w:rFonts w:ascii="Arial" w:hAnsi="Arial" w:cs="Arial"/>
          <w:sz w:val="24"/>
          <w:szCs w:val="24"/>
        </w:rPr>
        <w:t>S</w:t>
      </w:r>
      <w:r w:rsidRPr="002E1C81">
        <w:rPr>
          <w:rFonts w:ascii="Arial" w:hAnsi="Arial" w:cs="Arial"/>
          <w:sz w:val="24"/>
          <w:szCs w:val="24"/>
        </w:rPr>
        <w:t xml:space="preserve">taff </w:t>
      </w:r>
      <w:r w:rsidR="00FA1212">
        <w:rPr>
          <w:rFonts w:ascii="Arial" w:hAnsi="Arial" w:cs="Arial"/>
          <w:sz w:val="24"/>
          <w:szCs w:val="24"/>
        </w:rPr>
        <w:t xml:space="preserve">recognising and reporting </w:t>
      </w:r>
      <w:r w:rsidR="00F64CEB" w:rsidRPr="002E1C81">
        <w:rPr>
          <w:rFonts w:ascii="Arial" w:hAnsi="Arial" w:cs="Arial"/>
          <w:sz w:val="24"/>
          <w:szCs w:val="24"/>
        </w:rPr>
        <w:t xml:space="preserve">information security incidents </w:t>
      </w:r>
      <w:r w:rsidR="00F241ED" w:rsidRPr="002E1C81">
        <w:rPr>
          <w:rFonts w:ascii="Arial" w:hAnsi="Arial" w:cs="Arial"/>
          <w:sz w:val="24"/>
          <w:szCs w:val="24"/>
        </w:rPr>
        <w:t>immediately</w:t>
      </w:r>
      <w:r w:rsidR="00F64CEB" w:rsidRPr="002E1C81">
        <w:rPr>
          <w:rFonts w:ascii="Arial" w:hAnsi="Arial" w:cs="Arial"/>
          <w:sz w:val="24"/>
          <w:szCs w:val="24"/>
        </w:rPr>
        <w:t xml:space="preserve"> </w:t>
      </w:r>
      <w:r w:rsidR="00FA1212" w:rsidRPr="00196B06">
        <w:rPr>
          <w:rFonts w:ascii="Arial" w:hAnsi="Arial" w:cs="Arial"/>
          <w:sz w:val="24"/>
          <w:szCs w:val="24"/>
          <w:highlight w:val="yellow"/>
        </w:rPr>
        <w:t>[INSERT LINK]</w:t>
      </w:r>
      <w:r w:rsidR="00FA1212">
        <w:rPr>
          <w:rFonts w:ascii="Arial" w:hAnsi="Arial" w:cs="Arial"/>
          <w:sz w:val="24"/>
          <w:szCs w:val="24"/>
        </w:rPr>
        <w:t xml:space="preserve">.  </w:t>
      </w:r>
      <w:r w:rsidR="00F64CEB" w:rsidRPr="002E1C81">
        <w:rPr>
          <w:rFonts w:ascii="Arial" w:hAnsi="Arial" w:cs="Arial"/>
          <w:sz w:val="24"/>
          <w:szCs w:val="24"/>
        </w:rPr>
        <w:t>Even if the incidents have negligible impact (e.g. loss of encrypted smartphone) they still add to our knowledge base and enable us to better prepare for risks in the future.</w:t>
      </w:r>
    </w:p>
    <w:p w14:paraId="4F1DFFAC" w14:textId="77777777" w:rsidR="002E1C81" w:rsidRDefault="002E1C81" w:rsidP="002E1C81">
      <w:pPr>
        <w:pStyle w:val="ListParagraph"/>
        <w:spacing w:after="0" w:line="240" w:lineRule="auto"/>
        <w:ind w:left="1080"/>
        <w:rPr>
          <w:rFonts w:ascii="Arial" w:hAnsi="Arial" w:cs="Arial"/>
          <w:sz w:val="24"/>
          <w:szCs w:val="24"/>
        </w:rPr>
      </w:pPr>
    </w:p>
    <w:p w14:paraId="203D8E41" w14:textId="4519024E" w:rsidR="00F64CEB" w:rsidRDefault="00103BAD" w:rsidP="002E1C81">
      <w:pPr>
        <w:pStyle w:val="ListParagraph"/>
        <w:numPr>
          <w:ilvl w:val="0"/>
          <w:numId w:val="12"/>
        </w:numPr>
        <w:spacing w:after="0" w:line="240" w:lineRule="auto"/>
        <w:rPr>
          <w:rFonts w:ascii="Arial" w:hAnsi="Arial" w:cs="Arial"/>
          <w:sz w:val="24"/>
          <w:szCs w:val="24"/>
        </w:rPr>
      </w:pPr>
      <w:r>
        <w:rPr>
          <w:rFonts w:ascii="Arial" w:hAnsi="Arial" w:cs="Arial"/>
          <w:sz w:val="24"/>
          <w:szCs w:val="24"/>
        </w:rPr>
        <w:t xml:space="preserve">Ensuring </w:t>
      </w:r>
      <w:r w:rsidR="00F64CEB" w:rsidRPr="002E1C81">
        <w:rPr>
          <w:rFonts w:ascii="Arial" w:hAnsi="Arial" w:cs="Arial"/>
          <w:sz w:val="24"/>
          <w:szCs w:val="24"/>
        </w:rPr>
        <w:t xml:space="preserve">staff raise any concerns they have </w:t>
      </w:r>
      <w:r w:rsidRPr="002E1C81">
        <w:rPr>
          <w:rFonts w:ascii="Arial" w:hAnsi="Arial" w:cs="Arial"/>
          <w:sz w:val="24"/>
          <w:szCs w:val="24"/>
        </w:rPr>
        <w:t>a</w:t>
      </w:r>
      <w:r>
        <w:rPr>
          <w:rFonts w:ascii="Arial" w:hAnsi="Arial" w:cs="Arial"/>
          <w:sz w:val="24"/>
          <w:szCs w:val="24"/>
        </w:rPr>
        <w:t>round</w:t>
      </w:r>
      <w:r w:rsidRPr="002E1C81">
        <w:rPr>
          <w:rFonts w:ascii="Arial" w:hAnsi="Arial" w:cs="Arial"/>
          <w:sz w:val="24"/>
          <w:szCs w:val="24"/>
        </w:rPr>
        <w:t xml:space="preserve"> </w:t>
      </w:r>
      <w:r w:rsidR="00FA1212">
        <w:rPr>
          <w:rFonts w:ascii="Arial" w:hAnsi="Arial" w:cs="Arial"/>
          <w:sz w:val="24"/>
          <w:szCs w:val="24"/>
        </w:rPr>
        <w:t xml:space="preserve">the </w:t>
      </w:r>
      <w:r w:rsidR="00F64CEB" w:rsidRPr="002E1C81">
        <w:rPr>
          <w:rFonts w:ascii="Arial" w:hAnsi="Arial" w:cs="Arial"/>
          <w:sz w:val="24"/>
          <w:szCs w:val="24"/>
        </w:rPr>
        <w:t xml:space="preserve">privacy </w:t>
      </w:r>
      <w:r>
        <w:rPr>
          <w:rFonts w:ascii="Arial" w:hAnsi="Arial" w:cs="Arial"/>
          <w:sz w:val="24"/>
          <w:szCs w:val="24"/>
        </w:rPr>
        <w:t xml:space="preserve">of </w:t>
      </w:r>
      <w:r w:rsidR="00FA1212">
        <w:rPr>
          <w:rFonts w:ascii="Arial" w:hAnsi="Arial" w:cs="Arial"/>
          <w:sz w:val="24"/>
          <w:szCs w:val="24"/>
        </w:rPr>
        <w:t xml:space="preserve">their </w:t>
      </w:r>
      <w:r w:rsidR="00F64CEB" w:rsidRPr="002E1C81">
        <w:rPr>
          <w:rFonts w:ascii="Arial" w:hAnsi="Arial" w:cs="Arial"/>
          <w:sz w:val="24"/>
          <w:szCs w:val="24"/>
        </w:rPr>
        <w:t>own or customer data</w:t>
      </w:r>
      <w:r>
        <w:rPr>
          <w:rFonts w:ascii="Arial" w:hAnsi="Arial" w:cs="Arial"/>
          <w:sz w:val="24"/>
          <w:szCs w:val="24"/>
        </w:rPr>
        <w:t xml:space="preserve"> a</w:t>
      </w:r>
      <w:r w:rsidR="00F64CEB" w:rsidRPr="002E1C81">
        <w:rPr>
          <w:rFonts w:ascii="Arial" w:hAnsi="Arial" w:cs="Arial"/>
          <w:sz w:val="24"/>
          <w:szCs w:val="24"/>
        </w:rPr>
        <w:t xml:space="preserve">nd </w:t>
      </w:r>
      <w:r>
        <w:rPr>
          <w:rFonts w:ascii="Arial" w:hAnsi="Arial" w:cs="Arial"/>
          <w:sz w:val="24"/>
          <w:szCs w:val="24"/>
        </w:rPr>
        <w:t xml:space="preserve">that </w:t>
      </w:r>
      <w:r w:rsidR="00F241ED">
        <w:rPr>
          <w:rFonts w:ascii="Arial" w:hAnsi="Arial" w:cs="Arial"/>
          <w:sz w:val="24"/>
          <w:szCs w:val="24"/>
        </w:rPr>
        <w:t xml:space="preserve">they </w:t>
      </w:r>
      <w:r w:rsidR="00F241ED" w:rsidRPr="002E1C81">
        <w:rPr>
          <w:rFonts w:ascii="Arial" w:hAnsi="Arial" w:cs="Arial"/>
          <w:sz w:val="24"/>
          <w:szCs w:val="24"/>
        </w:rPr>
        <w:t>undertake</w:t>
      </w:r>
      <w:r w:rsidR="00F64CEB" w:rsidRPr="002E1C81">
        <w:rPr>
          <w:rFonts w:ascii="Arial" w:hAnsi="Arial" w:cs="Arial"/>
          <w:sz w:val="24"/>
          <w:szCs w:val="24"/>
        </w:rPr>
        <w:t xml:space="preserve"> the mandatory training package.</w:t>
      </w:r>
      <w:r w:rsidR="00FA1212">
        <w:rPr>
          <w:rFonts w:ascii="Arial" w:hAnsi="Arial" w:cs="Arial"/>
          <w:sz w:val="24"/>
          <w:szCs w:val="24"/>
        </w:rPr>
        <w:t xml:space="preserve"> </w:t>
      </w:r>
      <w:r w:rsidR="00FA1212" w:rsidRPr="00196B06">
        <w:rPr>
          <w:rFonts w:ascii="Arial" w:hAnsi="Arial" w:cs="Arial"/>
          <w:sz w:val="24"/>
          <w:szCs w:val="24"/>
          <w:highlight w:val="yellow"/>
        </w:rPr>
        <w:t>[INSERT LINK]</w:t>
      </w:r>
    </w:p>
    <w:p w14:paraId="7FCB02F7" w14:textId="77777777" w:rsidR="002E1C81" w:rsidRDefault="002E1C81" w:rsidP="002E1C81">
      <w:pPr>
        <w:pStyle w:val="ListParagraph"/>
        <w:spacing w:after="0" w:line="240" w:lineRule="auto"/>
        <w:ind w:left="1080"/>
        <w:rPr>
          <w:rFonts w:ascii="Arial" w:hAnsi="Arial" w:cs="Arial"/>
          <w:sz w:val="24"/>
          <w:szCs w:val="24"/>
        </w:rPr>
      </w:pPr>
    </w:p>
    <w:p w14:paraId="74870417" w14:textId="2DE6EC39" w:rsidR="00F64CEB" w:rsidRDefault="00103BAD" w:rsidP="002E1C81">
      <w:pPr>
        <w:pStyle w:val="ListParagraph"/>
        <w:numPr>
          <w:ilvl w:val="0"/>
          <w:numId w:val="12"/>
        </w:numPr>
        <w:spacing w:after="0" w:line="240" w:lineRule="auto"/>
        <w:rPr>
          <w:rFonts w:ascii="Arial" w:hAnsi="Arial" w:cs="Arial"/>
          <w:sz w:val="24"/>
          <w:szCs w:val="24"/>
        </w:rPr>
      </w:pPr>
      <w:r>
        <w:rPr>
          <w:rFonts w:ascii="Arial" w:hAnsi="Arial" w:cs="Arial"/>
          <w:sz w:val="24"/>
          <w:szCs w:val="24"/>
        </w:rPr>
        <w:t>Staff seek</w:t>
      </w:r>
      <w:r w:rsidR="00FA1212">
        <w:rPr>
          <w:rFonts w:ascii="Arial" w:hAnsi="Arial" w:cs="Arial"/>
          <w:sz w:val="24"/>
          <w:szCs w:val="24"/>
        </w:rPr>
        <w:t xml:space="preserve">ing </w:t>
      </w:r>
      <w:r w:rsidR="00F64CEB" w:rsidRPr="002E1C81">
        <w:rPr>
          <w:rFonts w:ascii="Arial" w:hAnsi="Arial" w:cs="Arial"/>
          <w:sz w:val="24"/>
          <w:szCs w:val="24"/>
        </w:rPr>
        <w:t xml:space="preserve">advice from managers (who can escalate </w:t>
      </w:r>
      <w:r w:rsidR="00FA1212">
        <w:rPr>
          <w:rFonts w:ascii="Arial" w:hAnsi="Arial" w:cs="Arial"/>
          <w:sz w:val="24"/>
          <w:szCs w:val="24"/>
        </w:rPr>
        <w:t xml:space="preserve">concerns </w:t>
      </w:r>
      <w:r w:rsidR="00F64CEB" w:rsidRPr="002E1C81">
        <w:rPr>
          <w:rFonts w:ascii="Arial" w:hAnsi="Arial" w:cs="Arial"/>
          <w:sz w:val="24"/>
          <w:szCs w:val="24"/>
        </w:rPr>
        <w:t>to</w:t>
      </w:r>
      <w:r w:rsidR="00FA1212">
        <w:rPr>
          <w:rFonts w:ascii="Arial" w:hAnsi="Arial" w:cs="Arial"/>
          <w:sz w:val="24"/>
          <w:szCs w:val="24"/>
        </w:rPr>
        <w:t xml:space="preserve"> the organisation’s</w:t>
      </w:r>
      <w:r w:rsidR="00F64CEB" w:rsidRPr="002E1C81">
        <w:rPr>
          <w:rFonts w:ascii="Arial" w:hAnsi="Arial" w:cs="Arial"/>
          <w:sz w:val="24"/>
          <w:szCs w:val="24"/>
        </w:rPr>
        <w:t xml:space="preserve"> IT </w:t>
      </w:r>
      <w:r>
        <w:rPr>
          <w:rFonts w:ascii="Arial" w:hAnsi="Arial" w:cs="Arial"/>
          <w:sz w:val="24"/>
          <w:szCs w:val="24"/>
        </w:rPr>
        <w:t>S</w:t>
      </w:r>
      <w:r w:rsidRPr="002E1C81">
        <w:rPr>
          <w:rFonts w:ascii="Arial" w:hAnsi="Arial" w:cs="Arial"/>
          <w:sz w:val="24"/>
          <w:szCs w:val="24"/>
        </w:rPr>
        <w:t xml:space="preserve">ecurity </w:t>
      </w:r>
      <w:r>
        <w:rPr>
          <w:rFonts w:ascii="Arial" w:hAnsi="Arial" w:cs="Arial"/>
          <w:sz w:val="24"/>
          <w:szCs w:val="24"/>
        </w:rPr>
        <w:t>M</w:t>
      </w:r>
      <w:r w:rsidRPr="002E1C81">
        <w:rPr>
          <w:rFonts w:ascii="Arial" w:hAnsi="Arial" w:cs="Arial"/>
          <w:sz w:val="24"/>
          <w:szCs w:val="24"/>
        </w:rPr>
        <w:t xml:space="preserve">anager </w:t>
      </w:r>
      <w:r w:rsidR="00F64CEB" w:rsidRPr="002E1C81">
        <w:rPr>
          <w:rFonts w:ascii="Arial" w:hAnsi="Arial" w:cs="Arial"/>
          <w:sz w:val="24"/>
          <w:szCs w:val="24"/>
        </w:rPr>
        <w:t xml:space="preserve">and </w:t>
      </w:r>
      <w:r w:rsidR="00FA1212">
        <w:rPr>
          <w:rFonts w:ascii="Arial" w:hAnsi="Arial" w:cs="Arial"/>
          <w:sz w:val="24"/>
          <w:szCs w:val="24"/>
        </w:rPr>
        <w:t>DPO</w:t>
      </w:r>
      <w:r w:rsidR="00F64CEB" w:rsidRPr="002E1C81">
        <w:rPr>
          <w:rFonts w:ascii="Arial" w:hAnsi="Arial" w:cs="Arial"/>
          <w:sz w:val="24"/>
          <w:szCs w:val="24"/>
        </w:rPr>
        <w:t>) in</w:t>
      </w:r>
      <w:r w:rsidR="00F241ED">
        <w:rPr>
          <w:rFonts w:ascii="Arial" w:hAnsi="Arial" w:cs="Arial"/>
          <w:sz w:val="24"/>
          <w:szCs w:val="24"/>
        </w:rPr>
        <w:t xml:space="preserve"> </w:t>
      </w:r>
      <w:r w:rsidR="00F64CEB" w:rsidRPr="002E1C81">
        <w:rPr>
          <w:rFonts w:ascii="Arial" w:hAnsi="Arial" w:cs="Arial"/>
          <w:sz w:val="24"/>
          <w:szCs w:val="24"/>
        </w:rPr>
        <w:t>case</w:t>
      </w:r>
      <w:r>
        <w:rPr>
          <w:rFonts w:ascii="Arial" w:hAnsi="Arial" w:cs="Arial"/>
          <w:sz w:val="24"/>
          <w:szCs w:val="24"/>
        </w:rPr>
        <w:t>s</w:t>
      </w:r>
      <w:r w:rsidR="00F64CEB" w:rsidRPr="002E1C81">
        <w:rPr>
          <w:rFonts w:ascii="Arial" w:hAnsi="Arial" w:cs="Arial"/>
          <w:sz w:val="24"/>
          <w:szCs w:val="24"/>
        </w:rPr>
        <w:t xml:space="preserve"> of unusual requests for data or large volumes of data which need to be sent outside the organisation.</w:t>
      </w:r>
    </w:p>
    <w:p w14:paraId="7119E581" w14:textId="77777777" w:rsidR="002E1C81" w:rsidRDefault="002E1C81" w:rsidP="002E1C81">
      <w:pPr>
        <w:pStyle w:val="ListParagraph"/>
        <w:spacing w:after="0" w:line="240" w:lineRule="auto"/>
        <w:ind w:left="1080"/>
        <w:rPr>
          <w:rFonts w:ascii="Arial" w:hAnsi="Arial" w:cs="Arial"/>
          <w:sz w:val="24"/>
          <w:szCs w:val="24"/>
        </w:rPr>
      </w:pPr>
    </w:p>
    <w:p w14:paraId="7AB4D432" w14:textId="20A14D5C" w:rsidR="00F64CEB" w:rsidRDefault="00F64CEB" w:rsidP="002E1C81">
      <w:pPr>
        <w:pStyle w:val="ListParagraph"/>
        <w:numPr>
          <w:ilvl w:val="0"/>
          <w:numId w:val="12"/>
        </w:numPr>
        <w:spacing w:after="0" w:line="240" w:lineRule="auto"/>
        <w:rPr>
          <w:rFonts w:ascii="Arial" w:hAnsi="Arial" w:cs="Arial"/>
          <w:sz w:val="24"/>
          <w:szCs w:val="24"/>
        </w:rPr>
      </w:pPr>
      <w:r w:rsidRPr="002E1C81">
        <w:rPr>
          <w:rFonts w:ascii="Arial" w:hAnsi="Arial" w:cs="Arial"/>
          <w:sz w:val="24"/>
          <w:szCs w:val="24"/>
        </w:rPr>
        <w:t>Build</w:t>
      </w:r>
      <w:r w:rsidR="00E53307">
        <w:rPr>
          <w:rFonts w:ascii="Arial" w:hAnsi="Arial" w:cs="Arial"/>
          <w:sz w:val="24"/>
          <w:szCs w:val="24"/>
        </w:rPr>
        <w:t>ing</w:t>
      </w:r>
      <w:r w:rsidRPr="002E1C81">
        <w:rPr>
          <w:rFonts w:ascii="Arial" w:hAnsi="Arial" w:cs="Arial"/>
          <w:sz w:val="24"/>
          <w:szCs w:val="24"/>
        </w:rPr>
        <w:t xml:space="preserve"> automatic prompts into change processes (e.g. you are about to review and re-design a current service) that looks at the implications for personal or otherwise sensitive data processing.</w:t>
      </w:r>
    </w:p>
    <w:p w14:paraId="6CCC4BE6" w14:textId="77777777" w:rsidR="002E1C81" w:rsidRDefault="002E1C81" w:rsidP="002E1C81">
      <w:pPr>
        <w:pStyle w:val="ListParagraph"/>
        <w:spacing w:after="0" w:line="240" w:lineRule="auto"/>
        <w:ind w:left="1080"/>
        <w:rPr>
          <w:rFonts w:ascii="Arial" w:hAnsi="Arial" w:cs="Arial"/>
          <w:sz w:val="24"/>
          <w:szCs w:val="24"/>
        </w:rPr>
      </w:pPr>
    </w:p>
    <w:p w14:paraId="063D8D76" w14:textId="581FB778" w:rsidR="00F64CEB" w:rsidRDefault="00F64CEB" w:rsidP="002E1C81">
      <w:pPr>
        <w:pStyle w:val="ListParagraph"/>
        <w:numPr>
          <w:ilvl w:val="0"/>
          <w:numId w:val="12"/>
        </w:numPr>
        <w:spacing w:after="0" w:line="240" w:lineRule="auto"/>
        <w:rPr>
          <w:rFonts w:ascii="Arial" w:hAnsi="Arial" w:cs="Arial"/>
          <w:sz w:val="24"/>
          <w:szCs w:val="24"/>
        </w:rPr>
      </w:pPr>
      <w:r w:rsidRPr="002E1C81">
        <w:rPr>
          <w:rFonts w:ascii="Arial" w:hAnsi="Arial" w:cs="Arial"/>
          <w:sz w:val="24"/>
          <w:szCs w:val="24"/>
        </w:rPr>
        <w:lastRenderedPageBreak/>
        <w:t>Build</w:t>
      </w:r>
      <w:r w:rsidR="00E53307">
        <w:rPr>
          <w:rFonts w:ascii="Arial" w:hAnsi="Arial" w:cs="Arial"/>
          <w:sz w:val="24"/>
          <w:szCs w:val="24"/>
        </w:rPr>
        <w:t>ing</w:t>
      </w:r>
      <w:r w:rsidRPr="002E1C81">
        <w:rPr>
          <w:rFonts w:ascii="Arial" w:hAnsi="Arial" w:cs="Arial"/>
          <w:sz w:val="24"/>
          <w:szCs w:val="24"/>
        </w:rPr>
        <w:t xml:space="preserve"> prompts into project management so that at initiation stage there is consideration of what personal data is in scope and </w:t>
      </w:r>
      <w:r w:rsidR="00E53307">
        <w:rPr>
          <w:rFonts w:ascii="Arial" w:hAnsi="Arial" w:cs="Arial"/>
          <w:sz w:val="24"/>
          <w:szCs w:val="24"/>
        </w:rPr>
        <w:t xml:space="preserve">any </w:t>
      </w:r>
      <w:r w:rsidRPr="002E1C81">
        <w:rPr>
          <w:rFonts w:ascii="Arial" w:hAnsi="Arial" w:cs="Arial"/>
          <w:sz w:val="24"/>
          <w:szCs w:val="24"/>
        </w:rPr>
        <w:t xml:space="preserve">likely legal and security issues which need to be assessed. Dealing with these areas at a very late stage (e.g. just before a service is about to launched) can lead to projects being delayed and </w:t>
      </w:r>
      <w:r w:rsidR="00E53307">
        <w:rPr>
          <w:rFonts w:ascii="Arial" w:hAnsi="Arial" w:cs="Arial"/>
          <w:sz w:val="24"/>
          <w:szCs w:val="24"/>
        </w:rPr>
        <w:t xml:space="preserve">the </w:t>
      </w:r>
      <w:r w:rsidRPr="002E1C81">
        <w:rPr>
          <w:rFonts w:ascii="Arial" w:hAnsi="Arial" w:cs="Arial"/>
          <w:sz w:val="24"/>
          <w:szCs w:val="24"/>
        </w:rPr>
        <w:t xml:space="preserve">extra costs of </w:t>
      </w:r>
      <w:r w:rsidR="00E53307">
        <w:rPr>
          <w:rFonts w:ascii="Arial" w:hAnsi="Arial" w:cs="Arial"/>
          <w:sz w:val="24"/>
          <w:szCs w:val="24"/>
        </w:rPr>
        <w:t xml:space="preserve">retrospectively </w:t>
      </w:r>
      <w:r w:rsidRPr="002E1C81">
        <w:rPr>
          <w:rFonts w:ascii="Arial" w:hAnsi="Arial" w:cs="Arial"/>
          <w:sz w:val="24"/>
          <w:szCs w:val="24"/>
        </w:rPr>
        <w:t xml:space="preserve">putting </w:t>
      </w:r>
      <w:r w:rsidR="00E53307">
        <w:rPr>
          <w:rFonts w:ascii="Arial" w:hAnsi="Arial" w:cs="Arial"/>
          <w:sz w:val="24"/>
          <w:szCs w:val="24"/>
        </w:rPr>
        <w:t xml:space="preserve">security controls </w:t>
      </w:r>
      <w:r w:rsidRPr="002E1C81">
        <w:rPr>
          <w:rFonts w:ascii="Arial" w:hAnsi="Arial" w:cs="Arial"/>
          <w:sz w:val="24"/>
          <w:szCs w:val="24"/>
        </w:rPr>
        <w:t>in</w:t>
      </w:r>
      <w:r w:rsidR="00E53307">
        <w:rPr>
          <w:rFonts w:ascii="Arial" w:hAnsi="Arial" w:cs="Arial"/>
          <w:sz w:val="24"/>
          <w:szCs w:val="24"/>
        </w:rPr>
        <w:t>to</w:t>
      </w:r>
      <w:r w:rsidRPr="002E1C81">
        <w:rPr>
          <w:rFonts w:ascii="Arial" w:hAnsi="Arial" w:cs="Arial"/>
          <w:sz w:val="24"/>
          <w:szCs w:val="24"/>
        </w:rPr>
        <w:t xml:space="preserve"> place</w:t>
      </w:r>
      <w:r w:rsidR="00E53307">
        <w:rPr>
          <w:rFonts w:ascii="Arial" w:hAnsi="Arial" w:cs="Arial"/>
          <w:sz w:val="24"/>
          <w:szCs w:val="24"/>
        </w:rPr>
        <w:t>.</w:t>
      </w:r>
    </w:p>
    <w:p w14:paraId="071BA63D" w14:textId="77777777" w:rsidR="002E1C81" w:rsidRDefault="002E1C81" w:rsidP="002E1C81">
      <w:pPr>
        <w:pStyle w:val="ListParagraph"/>
        <w:spacing w:after="0" w:line="240" w:lineRule="auto"/>
        <w:ind w:left="1080"/>
        <w:rPr>
          <w:rFonts w:ascii="Arial" w:hAnsi="Arial" w:cs="Arial"/>
          <w:sz w:val="24"/>
          <w:szCs w:val="24"/>
        </w:rPr>
      </w:pPr>
    </w:p>
    <w:p w14:paraId="02688EC2" w14:textId="1DBA6A79" w:rsidR="00F64CEB" w:rsidRPr="002E1C81" w:rsidRDefault="00F64CEB" w:rsidP="002E1C81">
      <w:pPr>
        <w:pStyle w:val="ListParagraph"/>
        <w:numPr>
          <w:ilvl w:val="0"/>
          <w:numId w:val="12"/>
        </w:numPr>
        <w:spacing w:after="0" w:line="240" w:lineRule="auto"/>
        <w:rPr>
          <w:rFonts w:ascii="Arial" w:hAnsi="Arial" w:cs="Arial"/>
          <w:sz w:val="24"/>
          <w:szCs w:val="24"/>
        </w:rPr>
      </w:pPr>
      <w:r w:rsidRPr="002E1C81">
        <w:rPr>
          <w:rFonts w:ascii="Arial" w:hAnsi="Arial" w:cs="Arial"/>
          <w:sz w:val="24"/>
          <w:szCs w:val="24"/>
        </w:rPr>
        <w:t>Close monitoring of existing key suppliers processing personal data to ensure they are carrying out the task with agreed security controls (which should be outlined in the</w:t>
      </w:r>
      <w:r w:rsidR="00196B06">
        <w:rPr>
          <w:rFonts w:ascii="Arial" w:hAnsi="Arial" w:cs="Arial"/>
          <w:sz w:val="24"/>
          <w:szCs w:val="24"/>
        </w:rPr>
        <w:t>ir</w:t>
      </w:r>
      <w:r w:rsidRPr="002E1C81">
        <w:rPr>
          <w:rFonts w:ascii="Arial" w:hAnsi="Arial" w:cs="Arial"/>
          <w:sz w:val="24"/>
          <w:szCs w:val="24"/>
        </w:rPr>
        <w:t xml:space="preserve"> contract</w:t>
      </w:r>
      <w:r w:rsidR="00196B06">
        <w:rPr>
          <w:rFonts w:ascii="Arial" w:hAnsi="Arial" w:cs="Arial"/>
          <w:sz w:val="24"/>
          <w:szCs w:val="24"/>
        </w:rPr>
        <w:t>s</w:t>
      </w:r>
      <w:r w:rsidRPr="002E1C81">
        <w:rPr>
          <w:rFonts w:ascii="Arial" w:hAnsi="Arial" w:cs="Arial"/>
          <w:sz w:val="24"/>
          <w:szCs w:val="24"/>
        </w:rPr>
        <w:t xml:space="preserve">). </w:t>
      </w:r>
    </w:p>
    <w:p w14:paraId="6D8E9DB3" w14:textId="77777777" w:rsidR="00F64CEB" w:rsidRPr="00F64CEB" w:rsidRDefault="00F64CEB" w:rsidP="00F64CEB">
      <w:pPr>
        <w:pStyle w:val="ListParagraph"/>
        <w:spacing w:after="0" w:line="240" w:lineRule="auto"/>
        <w:ind w:left="680"/>
        <w:rPr>
          <w:rFonts w:ascii="Arial" w:hAnsi="Arial" w:cs="Arial"/>
          <w:sz w:val="24"/>
          <w:szCs w:val="24"/>
        </w:rPr>
      </w:pPr>
    </w:p>
    <w:p w14:paraId="703644AA" w14:textId="25220D2B" w:rsidR="005D4C0E" w:rsidRDefault="17188259" w:rsidP="005D4C0E">
      <w:pPr>
        <w:pStyle w:val="ListParagraph"/>
        <w:numPr>
          <w:ilvl w:val="0"/>
          <w:numId w:val="10"/>
        </w:numPr>
        <w:spacing w:after="0" w:line="240" w:lineRule="auto"/>
        <w:rPr>
          <w:rFonts w:ascii="Arial" w:hAnsi="Arial" w:cs="Arial"/>
          <w:sz w:val="24"/>
          <w:szCs w:val="24"/>
        </w:rPr>
      </w:pPr>
      <w:r w:rsidRPr="17188259">
        <w:rPr>
          <w:rFonts w:ascii="Arial" w:hAnsi="Arial" w:cs="Arial"/>
          <w:b/>
          <w:bCs/>
          <w:sz w:val="24"/>
          <w:szCs w:val="24"/>
        </w:rPr>
        <w:t>When do I need to do a Data Protection Impact Assessment?</w:t>
      </w:r>
    </w:p>
    <w:p w14:paraId="265FF4E0" w14:textId="4A420F70" w:rsidR="005D4C0E" w:rsidRDefault="005D4C0E" w:rsidP="005D4C0E">
      <w:pPr>
        <w:pStyle w:val="ListParagraph"/>
        <w:spacing w:after="0" w:line="240" w:lineRule="auto"/>
        <w:ind w:left="680"/>
        <w:rPr>
          <w:rFonts w:ascii="Arial" w:hAnsi="Arial" w:cs="Arial"/>
          <w:sz w:val="24"/>
          <w:szCs w:val="24"/>
        </w:rPr>
      </w:pPr>
    </w:p>
    <w:p w14:paraId="599D4262" w14:textId="2DB96DAA" w:rsidR="007717C2" w:rsidRPr="00DE710D" w:rsidRDefault="007717C2" w:rsidP="00DE710D">
      <w:pPr>
        <w:pStyle w:val="ListParagraph"/>
        <w:numPr>
          <w:ilvl w:val="1"/>
          <w:numId w:val="32"/>
        </w:numPr>
        <w:spacing w:after="0" w:line="240" w:lineRule="auto"/>
        <w:rPr>
          <w:rFonts w:ascii="Arial" w:hAnsi="Arial" w:cs="Arial"/>
          <w:sz w:val="24"/>
          <w:szCs w:val="24"/>
        </w:rPr>
      </w:pPr>
      <w:r w:rsidRPr="00DE710D">
        <w:rPr>
          <w:rFonts w:ascii="Arial" w:hAnsi="Arial" w:cs="Arial"/>
          <w:sz w:val="24"/>
          <w:szCs w:val="24"/>
        </w:rPr>
        <w:t>The concept of having a formal privacy risk assessment process</w:t>
      </w:r>
      <w:r w:rsidR="00F241ED">
        <w:rPr>
          <w:rFonts w:ascii="Arial" w:hAnsi="Arial" w:cs="Arial"/>
          <w:sz w:val="24"/>
          <w:szCs w:val="24"/>
        </w:rPr>
        <w:t xml:space="preserve"> </w:t>
      </w:r>
      <w:r w:rsidR="00196B06">
        <w:rPr>
          <w:rFonts w:ascii="Arial" w:hAnsi="Arial" w:cs="Arial"/>
          <w:sz w:val="24"/>
          <w:szCs w:val="24"/>
        </w:rPr>
        <w:t xml:space="preserve">which involves completing a form </w:t>
      </w:r>
      <w:r w:rsidRPr="00DE710D">
        <w:rPr>
          <w:rFonts w:ascii="Arial" w:hAnsi="Arial" w:cs="Arial"/>
          <w:sz w:val="24"/>
          <w:szCs w:val="24"/>
        </w:rPr>
        <w:t xml:space="preserve">is not new to </w:t>
      </w:r>
      <w:r w:rsidR="00196B06">
        <w:rPr>
          <w:rFonts w:ascii="Arial" w:hAnsi="Arial" w:cs="Arial"/>
          <w:sz w:val="24"/>
          <w:szCs w:val="24"/>
        </w:rPr>
        <w:t xml:space="preserve">organisations.  </w:t>
      </w:r>
      <w:r w:rsidRPr="00DE710D">
        <w:rPr>
          <w:rFonts w:ascii="Arial" w:hAnsi="Arial" w:cs="Arial"/>
          <w:sz w:val="24"/>
          <w:szCs w:val="24"/>
        </w:rPr>
        <w:t>But the advent of GDPR/Data Protection Act (2018)</w:t>
      </w:r>
      <w:r w:rsidR="003D63E1">
        <w:rPr>
          <w:rStyle w:val="FootnoteReference"/>
          <w:rFonts w:ascii="Arial" w:hAnsi="Arial" w:cs="Arial"/>
          <w:sz w:val="24"/>
          <w:szCs w:val="24"/>
        </w:rPr>
        <w:footnoteReference w:id="3"/>
      </w:r>
      <w:r w:rsidRPr="00DE710D">
        <w:rPr>
          <w:rFonts w:ascii="Arial" w:hAnsi="Arial" w:cs="Arial"/>
          <w:sz w:val="24"/>
          <w:szCs w:val="24"/>
        </w:rPr>
        <w:t xml:space="preserve"> gives this a legal basis. Quite simply, </w:t>
      </w:r>
      <w:r w:rsidR="00196B06">
        <w:rPr>
          <w:rFonts w:ascii="Arial" w:hAnsi="Arial" w:cs="Arial"/>
          <w:sz w:val="24"/>
          <w:szCs w:val="24"/>
        </w:rPr>
        <w:t xml:space="preserve">under the new law </w:t>
      </w:r>
      <w:r w:rsidRPr="00DE710D">
        <w:rPr>
          <w:rFonts w:ascii="Arial" w:hAnsi="Arial" w:cs="Arial"/>
          <w:sz w:val="24"/>
          <w:szCs w:val="24"/>
        </w:rPr>
        <w:t xml:space="preserve">organisations are obliged to </w:t>
      </w:r>
      <w:r w:rsidR="00196B06">
        <w:rPr>
          <w:rFonts w:ascii="Arial" w:hAnsi="Arial" w:cs="Arial"/>
          <w:sz w:val="24"/>
          <w:szCs w:val="24"/>
        </w:rPr>
        <w:t>undertake</w:t>
      </w:r>
      <w:r w:rsidR="00CC5944" w:rsidRPr="00DE710D">
        <w:rPr>
          <w:rFonts w:ascii="Arial" w:hAnsi="Arial" w:cs="Arial"/>
          <w:sz w:val="24"/>
          <w:szCs w:val="24"/>
        </w:rPr>
        <w:t xml:space="preserve"> </w:t>
      </w:r>
      <w:r w:rsidRPr="00DE710D">
        <w:rPr>
          <w:rFonts w:ascii="Arial" w:hAnsi="Arial" w:cs="Arial"/>
          <w:sz w:val="24"/>
          <w:szCs w:val="24"/>
        </w:rPr>
        <w:t xml:space="preserve">Data Protection Impact Assessments (DPIAs) for what </w:t>
      </w:r>
      <w:r w:rsidR="00CC5944">
        <w:rPr>
          <w:rFonts w:ascii="Arial" w:hAnsi="Arial" w:cs="Arial"/>
          <w:sz w:val="24"/>
          <w:szCs w:val="24"/>
        </w:rPr>
        <w:t>is</w:t>
      </w:r>
      <w:r w:rsidR="00CC5944" w:rsidRPr="00DE710D">
        <w:rPr>
          <w:rFonts w:ascii="Arial" w:hAnsi="Arial" w:cs="Arial"/>
          <w:sz w:val="24"/>
          <w:szCs w:val="24"/>
        </w:rPr>
        <w:t xml:space="preserve"> </w:t>
      </w:r>
      <w:r w:rsidRPr="00DE710D">
        <w:rPr>
          <w:rFonts w:ascii="Arial" w:hAnsi="Arial" w:cs="Arial"/>
          <w:sz w:val="24"/>
          <w:szCs w:val="24"/>
        </w:rPr>
        <w:t xml:space="preserve">considered high risk personal data processing. </w:t>
      </w:r>
      <w:r w:rsidR="00196B06">
        <w:rPr>
          <w:rFonts w:ascii="Arial" w:hAnsi="Arial" w:cs="Arial"/>
          <w:sz w:val="24"/>
          <w:szCs w:val="24"/>
        </w:rPr>
        <w:t xml:space="preserve"> </w:t>
      </w:r>
      <w:r w:rsidRPr="00DE710D">
        <w:rPr>
          <w:rFonts w:ascii="Arial" w:hAnsi="Arial" w:cs="Arial"/>
          <w:sz w:val="24"/>
          <w:szCs w:val="24"/>
        </w:rPr>
        <w:t xml:space="preserve">As ‘high risk’ can mean different things to different organisations, </w:t>
      </w:r>
      <w:r w:rsidRPr="00196B06">
        <w:rPr>
          <w:rFonts w:ascii="Arial" w:hAnsi="Arial" w:cs="Arial"/>
          <w:sz w:val="24"/>
          <w:szCs w:val="24"/>
          <w:highlight w:val="yellow"/>
        </w:rPr>
        <w:t>[</w:t>
      </w:r>
      <w:r w:rsidR="00196B06">
        <w:rPr>
          <w:rFonts w:ascii="Arial" w:hAnsi="Arial" w:cs="Arial"/>
          <w:sz w:val="24"/>
          <w:szCs w:val="24"/>
          <w:highlight w:val="yellow"/>
        </w:rPr>
        <w:t>INSERT ENTITY’S NAME</w:t>
      </w:r>
      <w:r w:rsidRPr="00196B06">
        <w:rPr>
          <w:rFonts w:ascii="Arial" w:hAnsi="Arial" w:cs="Arial"/>
          <w:sz w:val="24"/>
          <w:szCs w:val="24"/>
          <w:highlight w:val="yellow"/>
        </w:rPr>
        <w:t>]</w:t>
      </w:r>
      <w:r w:rsidRPr="00DE710D">
        <w:rPr>
          <w:rFonts w:ascii="Arial" w:hAnsi="Arial" w:cs="Arial"/>
          <w:sz w:val="24"/>
          <w:szCs w:val="24"/>
        </w:rPr>
        <w:t xml:space="preserve"> has laid down its own ground rules summarised below:</w:t>
      </w:r>
      <w:r w:rsidR="00C423CD" w:rsidRPr="00DE710D">
        <w:rPr>
          <w:rFonts w:ascii="Arial" w:hAnsi="Arial" w:cs="Arial"/>
          <w:sz w:val="24"/>
          <w:szCs w:val="24"/>
        </w:rPr>
        <w:t xml:space="preserve">  </w:t>
      </w:r>
      <w:r w:rsidRPr="00DE710D">
        <w:rPr>
          <w:rFonts w:ascii="Arial" w:hAnsi="Arial" w:cs="Arial"/>
          <w:sz w:val="24"/>
          <w:szCs w:val="24"/>
        </w:rPr>
        <w:t>If any one of these tests apply, then you need to do a DPIA:</w:t>
      </w:r>
    </w:p>
    <w:p w14:paraId="021F56D0" w14:textId="77777777" w:rsidR="00C423CD" w:rsidRPr="00111F24" w:rsidRDefault="00C423CD" w:rsidP="007717C2">
      <w:pPr>
        <w:spacing w:after="0" w:line="240" w:lineRule="auto"/>
        <w:rPr>
          <w:rFonts w:ascii="Arial" w:hAnsi="Arial" w:cs="Arial"/>
          <w:sz w:val="24"/>
          <w:szCs w:val="24"/>
        </w:rPr>
      </w:pPr>
    </w:p>
    <w:p w14:paraId="028EAD4F" w14:textId="208796E3" w:rsidR="00DE710D" w:rsidRDefault="007717C2" w:rsidP="007717C2">
      <w:pPr>
        <w:spacing w:after="0" w:line="240" w:lineRule="auto"/>
        <w:rPr>
          <w:rFonts w:ascii="Arial" w:hAnsi="Arial" w:cs="Arial"/>
          <w:b/>
          <w:sz w:val="24"/>
          <w:szCs w:val="24"/>
          <w:u w:val="single"/>
        </w:rPr>
      </w:pPr>
      <w:r w:rsidRPr="00DE710D">
        <w:rPr>
          <w:rFonts w:ascii="Arial" w:hAnsi="Arial" w:cs="Arial"/>
          <w:b/>
          <w:sz w:val="24"/>
          <w:szCs w:val="24"/>
          <w:u w:val="single"/>
        </w:rPr>
        <w:t>Table 1</w:t>
      </w:r>
    </w:p>
    <w:p w14:paraId="546B4613" w14:textId="77777777" w:rsidR="00EA270A" w:rsidRPr="00EA270A" w:rsidRDefault="00EA270A" w:rsidP="007717C2">
      <w:pPr>
        <w:spacing w:after="0" w:line="240" w:lineRule="auto"/>
        <w:rPr>
          <w:rFonts w:ascii="Arial" w:hAnsi="Arial" w:cs="Arial"/>
          <w:b/>
          <w:sz w:val="24"/>
          <w:szCs w:val="24"/>
          <w:u w:val="single"/>
        </w:rPr>
      </w:pPr>
    </w:p>
    <w:tbl>
      <w:tblPr>
        <w:tblStyle w:val="TableGrid"/>
        <w:tblW w:w="0" w:type="auto"/>
        <w:tblLook w:val="04A0" w:firstRow="1" w:lastRow="0" w:firstColumn="1" w:lastColumn="0" w:noHBand="0" w:noVBand="1"/>
      </w:tblPr>
      <w:tblGrid>
        <w:gridCol w:w="7366"/>
        <w:gridCol w:w="1650"/>
      </w:tblGrid>
      <w:tr w:rsidR="007717C2" w:rsidRPr="00111F24" w14:paraId="4706EA06" w14:textId="77777777" w:rsidTr="007D40A0">
        <w:tc>
          <w:tcPr>
            <w:tcW w:w="7366" w:type="dxa"/>
          </w:tcPr>
          <w:p w14:paraId="4014674C" w14:textId="77777777" w:rsidR="007717C2" w:rsidRPr="00111F24" w:rsidRDefault="007717C2" w:rsidP="007D40A0">
            <w:pPr>
              <w:rPr>
                <w:rFonts w:ascii="Arial" w:hAnsi="Arial" w:cs="Arial"/>
                <w:b/>
                <w:sz w:val="24"/>
                <w:szCs w:val="24"/>
              </w:rPr>
            </w:pPr>
            <w:r w:rsidRPr="00111F24">
              <w:rPr>
                <w:rFonts w:ascii="Arial" w:hAnsi="Arial" w:cs="Arial"/>
                <w:b/>
                <w:sz w:val="24"/>
                <w:szCs w:val="24"/>
              </w:rPr>
              <w:t>What is the activity</w:t>
            </w:r>
          </w:p>
        </w:tc>
        <w:tc>
          <w:tcPr>
            <w:tcW w:w="1650" w:type="dxa"/>
          </w:tcPr>
          <w:p w14:paraId="375898B8" w14:textId="77777777" w:rsidR="007717C2" w:rsidRDefault="007717C2" w:rsidP="007D40A0">
            <w:pPr>
              <w:rPr>
                <w:rFonts w:ascii="Arial" w:hAnsi="Arial" w:cs="Arial"/>
                <w:b/>
                <w:sz w:val="24"/>
                <w:szCs w:val="24"/>
              </w:rPr>
            </w:pPr>
            <w:r w:rsidRPr="00111F24">
              <w:rPr>
                <w:rFonts w:ascii="Arial" w:hAnsi="Arial" w:cs="Arial"/>
                <w:b/>
                <w:sz w:val="24"/>
                <w:szCs w:val="24"/>
              </w:rPr>
              <w:t>Do I need to do a DPIA?</w:t>
            </w:r>
          </w:p>
          <w:p w14:paraId="69CBB5B6" w14:textId="0C0BAF81" w:rsidR="00196B06" w:rsidRPr="00111F24" w:rsidRDefault="00196B06" w:rsidP="007D40A0">
            <w:pPr>
              <w:rPr>
                <w:rFonts w:ascii="Arial" w:hAnsi="Arial" w:cs="Arial"/>
                <w:b/>
                <w:sz w:val="24"/>
                <w:szCs w:val="24"/>
              </w:rPr>
            </w:pPr>
          </w:p>
        </w:tc>
      </w:tr>
      <w:tr w:rsidR="007717C2" w:rsidRPr="00111F24" w14:paraId="0F62F725" w14:textId="77777777" w:rsidTr="007D40A0">
        <w:tc>
          <w:tcPr>
            <w:tcW w:w="7366" w:type="dxa"/>
          </w:tcPr>
          <w:p w14:paraId="6F4CB906" w14:textId="77777777" w:rsidR="007717C2" w:rsidRPr="00196B06" w:rsidRDefault="007717C2" w:rsidP="00196B06">
            <w:pPr>
              <w:pStyle w:val="ListParagraph"/>
              <w:numPr>
                <w:ilvl w:val="0"/>
                <w:numId w:val="37"/>
              </w:numPr>
              <w:rPr>
                <w:rFonts w:ascii="Arial" w:hAnsi="Arial" w:cs="Arial"/>
                <w:sz w:val="24"/>
                <w:szCs w:val="24"/>
              </w:rPr>
            </w:pPr>
            <w:r w:rsidRPr="00196B06">
              <w:rPr>
                <w:rFonts w:ascii="Arial" w:hAnsi="Arial" w:cs="Arial"/>
                <w:sz w:val="24"/>
                <w:szCs w:val="24"/>
              </w:rPr>
              <w:t>I intend to process personal data for the first time or obtain new types of personal data from staff or customers, for example:</w:t>
            </w:r>
          </w:p>
          <w:p w14:paraId="6D631B01" w14:textId="77777777" w:rsidR="007717C2" w:rsidRPr="00111F24" w:rsidRDefault="007717C2" w:rsidP="007D40A0">
            <w:pPr>
              <w:rPr>
                <w:rFonts w:ascii="Arial" w:hAnsi="Arial" w:cs="Arial"/>
                <w:sz w:val="24"/>
                <w:szCs w:val="24"/>
              </w:rPr>
            </w:pPr>
          </w:p>
          <w:p w14:paraId="0E0FF113" w14:textId="2A902F29" w:rsidR="007717C2" w:rsidRDefault="007717C2" w:rsidP="007D40A0">
            <w:pPr>
              <w:pStyle w:val="ListParagraph"/>
              <w:numPr>
                <w:ilvl w:val="0"/>
                <w:numId w:val="9"/>
              </w:numPr>
              <w:rPr>
                <w:rFonts w:ascii="Arial" w:hAnsi="Arial" w:cs="Arial"/>
                <w:sz w:val="24"/>
                <w:szCs w:val="24"/>
              </w:rPr>
            </w:pPr>
            <w:r w:rsidRPr="00111F24">
              <w:rPr>
                <w:rFonts w:ascii="Arial" w:hAnsi="Arial" w:cs="Arial"/>
                <w:sz w:val="24"/>
                <w:szCs w:val="24"/>
              </w:rPr>
              <w:t>A new project involves processing personal data on staff or customers</w:t>
            </w:r>
            <w:r w:rsidR="00196B06">
              <w:rPr>
                <w:rFonts w:ascii="Arial" w:hAnsi="Arial" w:cs="Arial"/>
                <w:sz w:val="24"/>
                <w:szCs w:val="24"/>
              </w:rPr>
              <w:t>.</w:t>
            </w:r>
          </w:p>
          <w:p w14:paraId="786DFA34" w14:textId="77777777" w:rsidR="00196B06" w:rsidRPr="00111F24" w:rsidRDefault="00196B06" w:rsidP="00196B06">
            <w:pPr>
              <w:pStyle w:val="ListParagraph"/>
              <w:rPr>
                <w:rFonts w:ascii="Arial" w:hAnsi="Arial" w:cs="Arial"/>
                <w:sz w:val="24"/>
                <w:szCs w:val="24"/>
              </w:rPr>
            </w:pPr>
          </w:p>
          <w:p w14:paraId="14A0152F" w14:textId="2E249394" w:rsidR="007717C2" w:rsidRDefault="007717C2" w:rsidP="007D40A0">
            <w:pPr>
              <w:pStyle w:val="ListParagraph"/>
              <w:numPr>
                <w:ilvl w:val="0"/>
                <w:numId w:val="9"/>
              </w:numPr>
              <w:rPr>
                <w:rFonts w:ascii="Arial" w:hAnsi="Arial" w:cs="Arial"/>
                <w:sz w:val="24"/>
                <w:szCs w:val="24"/>
              </w:rPr>
            </w:pPr>
            <w:r w:rsidRPr="00111F24">
              <w:rPr>
                <w:rFonts w:ascii="Arial" w:hAnsi="Arial" w:cs="Arial"/>
                <w:sz w:val="24"/>
                <w:szCs w:val="24"/>
              </w:rPr>
              <w:t>I am agreeing an entirely new contract which involves suppliers processing personal data on our behalf.</w:t>
            </w:r>
          </w:p>
          <w:p w14:paraId="4C3E63D1" w14:textId="77777777" w:rsidR="00196B06" w:rsidRPr="00111F24" w:rsidRDefault="00196B06" w:rsidP="00196B06">
            <w:pPr>
              <w:pStyle w:val="ListParagraph"/>
              <w:rPr>
                <w:rFonts w:ascii="Arial" w:hAnsi="Arial" w:cs="Arial"/>
                <w:sz w:val="24"/>
                <w:szCs w:val="24"/>
              </w:rPr>
            </w:pPr>
          </w:p>
          <w:p w14:paraId="62B1F8AB" w14:textId="77777777" w:rsidR="007717C2" w:rsidRDefault="007717C2" w:rsidP="007D40A0">
            <w:pPr>
              <w:pStyle w:val="ListParagraph"/>
              <w:numPr>
                <w:ilvl w:val="0"/>
                <w:numId w:val="9"/>
              </w:numPr>
              <w:rPr>
                <w:rFonts w:ascii="Arial" w:hAnsi="Arial" w:cs="Arial"/>
                <w:sz w:val="24"/>
                <w:szCs w:val="24"/>
              </w:rPr>
            </w:pPr>
            <w:r w:rsidRPr="00111F24">
              <w:rPr>
                <w:rFonts w:ascii="Arial" w:hAnsi="Arial" w:cs="Arial"/>
                <w:sz w:val="24"/>
                <w:szCs w:val="24"/>
              </w:rPr>
              <w:t>I am carrying out a major review of a service that could lead to a re-design which involves the processing of personal data.</w:t>
            </w:r>
          </w:p>
          <w:p w14:paraId="5C597727" w14:textId="2919ED51" w:rsidR="00196B06" w:rsidRPr="00111F24" w:rsidRDefault="00196B06" w:rsidP="00196B06">
            <w:pPr>
              <w:pStyle w:val="ListParagraph"/>
              <w:rPr>
                <w:rFonts w:ascii="Arial" w:hAnsi="Arial" w:cs="Arial"/>
                <w:sz w:val="24"/>
                <w:szCs w:val="24"/>
              </w:rPr>
            </w:pPr>
          </w:p>
        </w:tc>
        <w:tc>
          <w:tcPr>
            <w:tcW w:w="1650" w:type="dxa"/>
          </w:tcPr>
          <w:p w14:paraId="6F3CED27" w14:textId="77777777" w:rsidR="007717C2" w:rsidRPr="00111F24" w:rsidRDefault="007717C2" w:rsidP="007D40A0">
            <w:pPr>
              <w:rPr>
                <w:rFonts w:ascii="Arial" w:hAnsi="Arial" w:cs="Arial"/>
                <w:sz w:val="24"/>
                <w:szCs w:val="24"/>
              </w:rPr>
            </w:pPr>
            <w:r w:rsidRPr="00111F24">
              <w:rPr>
                <w:rFonts w:ascii="Arial" w:hAnsi="Arial" w:cs="Arial"/>
                <w:sz w:val="24"/>
                <w:szCs w:val="24"/>
              </w:rPr>
              <w:t>YES</w:t>
            </w:r>
          </w:p>
        </w:tc>
      </w:tr>
      <w:tr w:rsidR="007717C2" w:rsidRPr="00111F24" w14:paraId="52EF4A11" w14:textId="77777777" w:rsidTr="007D40A0">
        <w:tc>
          <w:tcPr>
            <w:tcW w:w="7366" w:type="dxa"/>
          </w:tcPr>
          <w:p w14:paraId="60FE04D1" w14:textId="77777777" w:rsidR="007717C2" w:rsidRDefault="007717C2" w:rsidP="00196B06">
            <w:pPr>
              <w:pStyle w:val="ListParagraph"/>
              <w:numPr>
                <w:ilvl w:val="0"/>
                <w:numId w:val="37"/>
              </w:numPr>
              <w:rPr>
                <w:rFonts w:ascii="Arial" w:hAnsi="Arial" w:cs="Arial"/>
                <w:sz w:val="24"/>
                <w:szCs w:val="24"/>
              </w:rPr>
            </w:pPr>
            <w:r w:rsidRPr="00196B06">
              <w:rPr>
                <w:rFonts w:ascii="Arial" w:hAnsi="Arial" w:cs="Arial"/>
                <w:sz w:val="24"/>
                <w:szCs w:val="24"/>
              </w:rPr>
              <w:t xml:space="preserve">I am making key changes to the suppliers’ contractual arrangements for processing personal data and/or the underpinning technologies which would change the security arrangements. </w:t>
            </w:r>
          </w:p>
          <w:p w14:paraId="62AFF139" w14:textId="46E52D0C" w:rsidR="00196B06" w:rsidRPr="00196B06" w:rsidRDefault="00196B06" w:rsidP="00196B06">
            <w:pPr>
              <w:pStyle w:val="ListParagraph"/>
              <w:ind w:left="510"/>
              <w:rPr>
                <w:rFonts w:ascii="Arial" w:hAnsi="Arial" w:cs="Arial"/>
                <w:sz w:val="24"/>
                <w:szCs w:val="24"/>
              </w:rPr>
            </w:pPr>
          </w:p>
        </w:tc>
        <w:tc>
          <w:tcPr>
            <w:tcW w:w="1650" w:type="dxa"/>
          </w:tcPr>
          <w:p w14:paraId="12C60D0C" w14:textId="77777777" w:rsidR="007717C2" w:rsidRPr="00111F24" w:rsidRDefault="007717C2" w:rsidP="007D40A0">
            <w:pPr>
              <w:rPr>
                <w:rFonts w:ascii="Arial" w:hAnsi="Arial" w:cs="Arial"/>
                <w:sz w:val="24"/>
                <w:szCs w:val="24"/>
              </w:rPr>
            </w:pPr>
            <w:r w:rsidRPr="00111F24">
              <w:rPr>
                <w:rFonts w:ascii="Arial" w:hAnsi="Arial" w:cs="Arial"/>
                <w:sz w:val="24"/>
                <w:szCs w:val="24"/>
              </w:rPr>
              <w:t>YES</w:t>
            </w:r>
          </w:p>
        </w:tc>
      </w:tr>
      <w:tr w:rsidR="007717C2" w:rsidRPr="00111F24" w14:paraId="3032966B" w14:textId="77777777" w:rsidTr="007D40A0">
        <w:tc>
          <w:tcPr>
            <w:tcW w:w="7366" w:type="dxa"/>
          </w:tcPr>
          <w:p w14:paraId="5D70F554" w14:textId="77777777" w:rsidR="007717C2" w:rsidRDefault="007717C2" w:rsidP="00196B06">
            <w:pPr>
              <w:pStyle w:val="ListParagraph"/>
              <w:numPr>
                <w:ilvl w:val="0"/>
                <w:numId w:val="37"/>
              </w:numPr>
              <w:rPr>
                <w:rFonts w:ascii="Arial" w:hAnsi="Arial" w:cs="Arial"/>
                <w:sz w:val="24"/>
                <w:szCs w:val="24"/>
              </w:rPr>
            </w:pPr>
            <w:r w:rsidRPr="00196B06">
              <w:rPr>
                <w:rFonts w:ascii="Arial" w:hAnsi="Arial" w:cs="Arial"/>
                <w:sz w:val="24"/>
                <w:szCs w:val="24"/>
              </w:rPr>
              <w:lastRenderedPageBreak/>
              <w:t>I intend to change the purpose and/or lawful basis by which personal data is processed (e.g. removing consent option).</w:t>
            </w:r>
          </w:p>
          <w:p w14:paraId="40F95DAB" w14:textId="0339DA1B" w:rsidR="003D63E1" w:rsidRPr="00196B06" w:rsidRDefault="003D63E1" w:rsidP="003D63E1">
            <w:pPr>
              <w:pStyle w:val="ListParagraph"/>
              <w:ind w:left="510"/>
              <w:rPr>
                <w:rFonts w:ascii="Arial" w:hAnsi="Arial" w:cs="Arial"/>
                <w:sz w:val="24"/>
                <w:szCs w:val="24"/>
              </w:rPr>
            </w:pPr>
          </w:p>
        </w:tc>
        <w:tc>
          <w:tcPr>
            <w:tcW w:w="1650" w:type="dxa"/>
          </w:tcPr>
          <w:p w14:paraId="398B4DC0" w14:textId="77777777" w:rsidR="007717C2" w:rsidRPr="00111F24" w:rsidRDefault="007717C2" w:rsidP="007D40A0">
            <w:pPr>
              <w:rPr>
                <w:rFonts w:ascii="Arial" w:hAnsi="Arial" w:cs="Arial"/>
                <w:sz w:val="24"/>
                <w:szCs w:val="24"/>
              </w:rPr>
            </w:pPr>
            <w:r w:rsidRPr="00111F24">
              <w:rPr>
                <w:rFonts w:ascii="Arial" w:hAnsi="Arial" w:cs="Arial"/>
                <w:sz w:val="24"/>
                <w:szCs w:val="24"/>
              </w:rPr>
              <w:t>YES</w:t>
            </w:r>
          </w:p>
        </w:tc>
      </w:tr>
      <w:tr w:rsidR="007717C2" w:rsidRPr="00111F24" w14:paraId="473018AB" w14:textId="77777777" w:rsidTr="007D40A0">
        <w:tc>
          <w:tcPr>
            <w:tcW w:w="7366" w:type="dxa"/>
          </w:tcPr>
          <w:p w14:paraId="07940C07" w14:textId="77777777" w:rsidR="007717C2" w:rsidRDefault="007717C2" w:rsidP="003D63E1">
            <w:pPr>
              <w:pStyle w:val="ListParagraph"/>
              <w:numPr>
                <w:ilvl w:val="0"/>
                <w:numId w:val="37"/>
              </w:numPr>
              <w:rPr>
                <w:rFonts w:ascii="Arial" w:hAnsi="Arial" w:cs="Arial"/>
                <w:sz w:val="24"/>
                <w:szCs w:val="24"/>
              </w:rPr>
            </w:pPr>
            <w:r w:rsidRPr="003D63E1">
              <w:rPr>
                <w:rFonts w:ascii="Arial" w:hAnsi="Arial" w:cs="Arial"/>
                <w:sz w:val="24"/>
                <w:szCs w:val="24"/>
              </w:rPr>
              <w:t>The intention is to share personal data externally for the first time, or new types of personal or otherwise sensitive data externally.</w:t>
            </w:r>
          </w:p>
          <w:p w14:paraId="1FC14E48" w14:textId="748403D6" w:rsidR="003D63E1" w:rsidRPr="003D63E1" w:rsidRDefault="003D63E1" w:rsidP="003D63E1">
            <w:pPr>
              <w:pStyle w:val="ListParagraph"/>
              <w:ind w:left="510"/>
              <w:rPr>
                <w:rFonts w:ascii="Arial" w:hAnsi="Arial" w:cs="Arial"/>
                <w:sz w:val="24"/>
                <w:szCs w:val="24"/>
              </w:rPr>
            </w:pPr>
          </w:p>
        </w:tc>
        <w:tc>
          <w:tcPr>
            <w:tcW w:w="1650" w:type="dxa"/>
          </w:tcPr>
          <w:p w14:paraId="55E4D79A" w14:textId="77777777" w:rsidR="007717C2" w:rsidRPr="00111F24" w:rsidRDefault="007717C2" w:rsidP="007D40A0">
            <w:pPr>
              <w:rPr>
                <w:rFonts w:ascii="Arial" w:hAnsi="Arial" w:cs="Arial"/>
                <w:sz w:val="24"/>
                <w:szCs w:val="24"/>
              </w:rPr>
            </w:pPr>
            <w:r w:rsidRPr="00111F24">
              <w:rPr>
                <w:rFonts w:ascii="Arial" w:hAnsi="Arial" w:cs="Arial"/>
                <w:sz w:val="24"/>
                <w:szCs w:val="24"/>
              </w:rPr>
              <w:t>YES</w:t>
            </w:r>
          </w:p>
        </w:tc>
      </w:tr>
      <w:tr w:rsidR="007717C2" w:rsidRPr="00111F24" w14:paraId="25D7DA84" w14:textId="77777777" w:rsidTr="007D40A0">
        <w:tc>
          <w:tcPr>
            <w:tcW w:w="7366" w:type="dxa"/>
          </w:tcPr>
          <w:p w14:paraId="3FABDEAC" w14:textId="77777777" w:rsidR="007717C2" w:rsidRDefault="007717C2" w:rsidP="003D63E1">
            <w:pPr>
              <w:pStyle w:val="ListParagraph"/>
              <w:numPr>
                <w:ilvl w:val="0"/>
                <w:numId w:val="37"/>
              </w:numPr>
              <w:rPr>
                <w:rFonts w:ascii="Arial" w:hAnsi="Arial" w:cs="Arial"/>
                <w:sz w:val="24"/>
                <w:szCs w:val="24"/>
              </w:rPr>
            </w:pPr>
            <w:r w:rsidRPr="003D63E1">
              <w:rPr>
                <w:rFonts w:ascii="Arial" w:hAnsi="Arial" w:cs="Arial"/>
                <w:sz w:val="24"/>
                <w:szCs w:val="24"/>
              </w:rPr>
              <w:t>The intention is to share sensitive corporate non-personal information externally on a regular basis.</w:t>
            </w:r>
          </w:p>
          <w:p w14:paraId="1B2F3D47" w14:textId="04189F82" w:rsidR="003D63E1" w:rsidRPr="003D63E1" w:rsidRDefault="003D63E1" w:rsidP="003D63E1">
            <w:pPr>
              <w:pStyle w:val="ListParagraph"/>
              <w:ind w:left="510"/>
              <w:rPr>
                <w:rFonts w:ascii="Arial" w:hAnsi="Arial" w:cs="Arial"/>
                <w:sz w:val="24"/>
                <w:szCs w:val="24"/>
              </w:rPr>
            </w:pPr>
          </w:p>
        </w:tc>
        <w:tc>
          <w:tcPr>
            <w:tcW w:w="1650" w:type="dxa"/>
          </w:tcPr>
          <w:p w14:paraId="7E4E8882" w14:textId="77777777" w:rsidR="007717C2" w:rsidRPr="00111F24" w:rsidRDefault="007717C2" w:rsidP="007D40A0">
            <w:pPr>
              <w:rPr>
                <w:rFonts w:ascii="Arial" w:hAnsi="Arial" w:cs="Arial"/>
                <w:sz w:val="24"/>
                <w:szCs w:val="24"/>
              </w:rPr>
            </w:pPr>
            <w:r w:rsidRPr="00111F24">
              <w:rPr>
                <w:rFonts w:ascii="Arial" w:hAnsi="Arial" w:cs="Arial"/>
                <w:sz w:val="24"/>
                <w:szCs w:val="24"/>
              </w:rPr>
              <w:t>YES</w:t>
            </w:r>
          </w:p>
        </w:tc>
      </w:tr>
      <w:tr w:rsidR="007717C2" w:rsidRPr="00111F24" w14:paraId="5043549E" w14:textId="77777777" w:rsidTr="007D40A0">
        <w:tc>
          <w:tcPr>
            <w:tcW w:w="7366" w:type="dxa"/>
          </w:tcPr>
          <w:p w14:paraId="34B626F9" w14:textId="77777777" w:rsidR="007717C2" w:rsidRDefault="007717C2" w:rsidP="003D63E1">
            <w:pPr>
              <w:pStyle w:val="ListParagraph"/>
              <w:numPr>
                <w:ilvl w:val="0"/>
                <w:numId w:val="37"/>
              </w:numPr>
              <w:rPr>
                <w:rFonts w:ascii="Arial" w:hAnsi="Arial" w:cs="Arial"/>
                <w:sz w:val="24"/>
                <w:szCs w:val="24"/>
              </w:rPr>
            </w:pPr>
            <w:r w:rsidRPr="003D63E1">
              <w:rPr>
                <w:rFonts w:ascii="Arial" w:hAnsi="Arial" w:cs="Arial"/>
                <w:sz w:val="24"/>
                <w:szCs w:val="24"/>
              </w:rPr>
              <w:t>An existing service has been hit by a significant information security incident or pattern or incidents which impacts on privacy.</w:t>
            </w:r>
          </w:p>
          <w:p w14:paraId="64E6B405" w14:textId="3F8A38E9" w:rsidR="003D63E1" w:rsidRPr="003D63E1" w:rsidRDefault="003D63E1" w:rsidP="003D63E1">
            <w:pPr>
              <w:pStyle w:val="ListParagraph"/>
              <w:ind w:left="510"/>
              <w:rPr>
                <w:rFonts w:ascii="Arial" w:hAnsi="Arial" w:cs="Arial"/>
                <w:sz w:val="24"/>
                <w:szCs w:val="24"/>
              </w:rPr>
            </w:pPr>
          </w:p>
        </w:tc>
        <w:tc>
          <w:tcPr>
            <w:tcW w:w="1650" w:type="dxa"/>
          </w:tcPr>
          <w:p w14:paraId="01951B42" w14:textId="77777777" w:rsidR="007717C2" w:rsidRPr="00111F24" w:rsidRDefault="007717C2" w:rsidP="007D40A0">
            <w:pPr>
              <w:rPr>
                <w:rFonts w:ascii="Arial" w:hAnsi="Arial" w:cs="Arial"/>
                <w:sz w:val="24"/>
                <w:szCs w:val="24"/>
              </w:rPr>
            </w:pPr>
            <w:r w:rsidRPr="00111F24">
              <w:rPr>
                <w:rFonts w:ascii="Arial" w:hAnsi="Arial" w:cs="Arial"/>
                <w:sz w:val="24"/>
                <w:szCs w:val="24"/>
              </w:rPr>
              <w:t>YES</w:t>
            </w:r>
          </w:p>
        </w:tc>
      </w:tr>
      <w:tr w:rsidR="007717C2" w:rsidRPr="00111F24" w14:paraId="61EA17D2" w14:textId="77777777" w:rsidTr="007D40A0">
        <w:tc>
          <w:tcPr>
            <w:tcW w:w="7366" w:type="dxa"/>
          </w:tcPr>
          <w:p w14:paraId="26DE5EEE" w14:textId="77777777" w:rsidR="007717C2" w:rsidRDefault="007717C2" w:rsidP="003D63E1">
            <w:pPr>
              <w:pStyle w:val="ListParagraph"/>
              <w:numPr>
                <w:ilvl w:val="0"/>
                <w:numId w:val="37"/>
              </w:numPr>
              <w:rPr>
                <w:rFonts w:ascii="Arial" w:hAnsi="Arial" w:cs="Arial"/>
                <w:sz w:val="24"/>
                <w:szCs w:val="24"/>
              </w:rPr>
            </w:pPr>
            <w:r w:rsidRPr="003D63E1">
              <w:rPr>
                <w:rFonts w:ascii="Arial" w:hAnsi="Arial" w:cs="Arial"/>
                <w:sz w:val="24"/>
                <w:szCs w:val="24"/>
              </w:rPr>
              <w:t>We had a review by internal or external audit or a regulator and they raised serious concerns about our personal data processing.</w:t>
            </w:r>
          </w:p>
          <w:p w14:paraId="42122098" w14:textId="4B02009D" w:rsidR="003D63E1" w:rsidRPr="003D63E1" w:rsidRDefault="003D63E1" w:rsidP="003D63E1">
            <w:pPr>
              <w:pStyle w:val="ListParagraph"/>
              <w:ind w:left="510"/>
              <w:rPr>
                <w:rFonts w:ascii="Arial" w:hAnsi="Arial" w:cs="Arial"/>
                <w:sz w:val="24"/>
                <w:szCs w:val="24"/>
              </w:rPr>
            </w:pPr>
          </w:p>
        </w:tc>
        <w:tc>
          <w:tcPr>
            <w:tcW w:w="1650" w:type="dxa"/>
          </w:tcPr>
          <w:p w14:paraId="4C793B70" w14:textId="77777777" w:rsidR="007717C2" w:rsidRPr="00111F24" w:rsidRDefault="007717C2" w:rsidP="007D40A0">
            <w:pPr>
              <w:rPr>
                <w:rFonts w:ascii="Arial" w:hAnsi="Arial" w:cs="Arial"/>
                <w:sz w:val="24"/>
                <w:szCs w:val="24"/>
              </w:rPr>
            </w:pPr>
            <w:r w:rsidRPr="00111F24">
              <w:rPr>
                <w:rFonts w:ascii="Arial" w:hAnsi="Arial" w:cs="Arial"/>
                <w:sz w:val="24"/>
                <w:szCs w:val="24"/>
              </w:rPr>
              <w:t>YES</w:t>
            </w:r>
          </w:p>
        </w:tc>
      </w:tr>
      <w:tr w:rsidR="007717C2" w:rsidRPr="00111F24" w14:paraId="78C05C57" w14:textId="77777777" w:rsidTr="007D40A0">
        <w:tc>
          <w:tcPr>
            <w:tcW w:w="7366" w:type="dxa"/>
          </w:tcPr>
          <w:p w14:paraId="6CA0AED9" w14:textId="77777777" w:rsidR="007717C2" w:rsidRPr="003D63E1" w:rsidRDefault="007717C2" w:rsidP="003D63E1">
            <w:pPr>
              <w:pStyle w:val="ListParagraph"/>
              <w:numPr>
                <w:ilvl w:val="0"/>
                <w:numId w:val="37"/>
              </w:numPr>
              <w:rPr>
                <w:rFonts w:ascii="Arial" w:hAnsi="Arial" w:cs="Arial"/>
                <w:sz w:val="24"/>
                <w:szCs w:val="24"/>
              </w:rPr>
            </w:pPr>
            <w:r w:rsidRPr="003D63E1">
              <w:rPr>
                <w:rFonts w:ascii="Arial" w:hAnsi="Arial" w:cs="Arial"/>
                <w:sz w:val="24"/>
                <w:szCs w:val="24"/>
              </w:rPr>
              <w:t>We have been directed by our Data Protection Officer that we should carry out a formal risk assessment based on concerns.</w:t>
            </w:r>
          </w:p>
        </w:tc>
        <w:tc>
          <w:tcPr>
            <w:tcW w:w="1650" w:type="dxa"/>
          </w:tcPr>
          <w:p w14:paraId="6B60B9AF" w14:textId="77777777" w:rsidR="007717C2" w:rsidRPr="00111F24" w:rsidRDefault="007717C2" w:rsidP="007D40A0">
            <w:pPr>
              <w:rPr>
                <w:rFonts w:ascii="Arial" w:hAnsi="Arial" w:cs="Arial"/>
                <w:sz w:val="24"/>
                <w:szCs w:val="24"/>
              </w:rPr>
            </w:pPr>
            <w:r w:rsidRPr="00111F24">
              <w:rPr>
                <w:rFonts w:ascii="Arial" w:hAnsi="Arial" w:cs="Arial"/>
                <w:sz w:val="24"/>
                <w:szCs w:val="24"/>
              </w:rPr>
              <w:t>YES</w:t>
            </w:r>
          </w:p>
        </w:tc>
      </w:tr>
      <w:tr w:rsidR="007717C2" w:rsidRPr="00111F24" w14:paraId="6D74155D" w14:textId="77777777" w:rsidTr="007D40A0">
        <w:tc>
          <w:tcPr>
            <w:tcW w:w="7366" w:type="dxa"/>
          </w:tcPr>
          <w:p w14:paraId="06A379DC" w14:textId="2CF99881" w:rsidR="007717C2" w:rsidRPr="003D63E1" w:rsidRDefault="007717C2" w:rsidP="003D63E1">
            <w:pPr>
              <w:pStyle w:val="ListParagraph"/>
              <w:numPr>
                <w:ilvl w:val="0"/>
                <w:numId w:val="37"/>
              </w:numPr>
              <w:rPr>
                <w:rFonts w:ascii="Arial" w:hAnsi="Arial" w:cs="Arial"/>
                <w:sz w:val="24"/>
                <w:szCs w:val="24"/>
              </w:rPr>
            </w:pPr>
            <w:r w:rsidRPr="003D63E1">
              <w:rPr>
                <w:rFonts w:ascii="Arial" w:hAnsi="Arial" w:cs="Arial"/>
                <w:sz w:val="24"/>
                <w:szCs w:val="24"/>
              </w:rPr>
              <w:t>We did a DPIA some</w:t>
            </w:r>
            <w:r w:rsidR="00B11BEE" w:rsidRPr="003D63E1">
              <w:rPr>
                <w:rFonts w:ascii="Arial" w:hAnsi="Arial" w:cs="Arial"/>
                <w:sz w:val="24"/>
                <w:szCs w:val="24"/>
              </w:rPr>
              <w:t xml:space="preserve"> </w:t>
            </w:r>
            <w:r w:rsidRPr="003D63E1">
              <w:rPr>
                <w:rFonts w:ascii="Arial" w:hAnsi="Arial" w:cs="Arial"/>
                <w:sz w:val="24"/>
                <w:szCs w:val="24"/>
              </w:rPr>
              <w:t>time ago, and there has been significant change since then in terms of how the service is delivered.</w:t>
            </w:r>
          </w:p>
        </w:tc>
        <w:tc>
          <w:tcPr>
            <w:tcW w:w="1650" w:type="dxa"/>
          </w:tcPr>
          <w:p w14:paraId="488690F6" w14:textId="77777777" w:rsidR="007717C2" w:rsidRPr="00111F24" w:rsidRDefault="007717C2" w:rsidP="007D40A0">
            <w:pPr>
              <w:rPr>
                <w:rFonts w:ascii="Arial" w:hAnsi="Arial" w:cs="Arial"/>
                <w:sz w:val="24"/>
                <w:szCs w:val="24"/>
              </w:rPr>
            </w:pPr>
            <w:r w:rsidRPr="00111F24">
              <w:rPr>
                <w:rFonts w:ascii="Arial" w:hAnsi="Arial" w:cs="Arial"/>
                <w:sz w:val="24"/>
                <w:szCs w:val="24"/>
              </w:rPr>
              <w:t>YES</w:t>
            </w:r>
          </w:p>
        </w:tc>
      </w:tr>
      <w:tr w:rsidR="007717C2" w:rsidRPr="00111F24" w14:paraId="7B1BDDD3" w14:textId="77777777" w:rsidTr="007D40A0">
        <w:tc>
          <w:tcPr>
            <w:tcW w:w="7366" w:type="dxa"/>
          </w:tcPr>
          <w:p w14:paraId="1964957C" w14:textId="77777777" w:rsidR="007717C2" w:rsidRPr="00111F24" w:rsidRDefault="007717C2" w:rsidP="007D40A0">
            <w:pPr>
              <w:rPr>
                <w:rFonts w:ascii="Arial" w:hAnsi="Arial" w:cs="Arial"/>
                <w:sz w:val="24"/>
                <w:szCs w:val="24"/>
              </w:rPr>
            </w:pPr>
          </w:p>
        </w:tc>
        <w:tc>
          <w:tcPr>
            <w:tcW w:w="1650" w:type="dxa"/>
          </w:tcPr>
          <w:p w14:paraId="42C783E6" w14:textId="77777777" w:rsidR="007717C2" w:rsidRPr="00111F24" w:rsidRDefault="007717C2" w:rsidP="007D40A0">
            <w:pPr>
              <w:rPr>
                <w:rFonts w:ascii="Arial" w:hAnsi="Arial" w:cs="Arial"/>
                <w:sz w:val="24"/>
                <w:szCs w:val="24"/>
              </w:rPr>
            </w:pPr>
          </w:p>
        </w:tc>
      </w:tr>
      <w:tr w:rsidR="007717C2" w:rsidRPr="00111F24" w14:paraId="5B7056E3" w14:textId="77777777" w:rsidTr="007D40A0">
        <w:tc>
          <w:tcPr>
            <w:tcW w:w="7366" w:type="dxa"/>
          </w:tcPr>
          <w:p w14:paraId="6F41AE4D" w14:textId="77777777" w:rsidR="007717C2" w:rsidRDefault="007717C2" w:rsidP="003D63E1">
            <w:pPr>
              <w:pStyle w:val="ListParagraph"/>
              <w:numPr>
                <w:ilvl w:val="0"/>
                <w:numId w:val="37"/>
              </w:numPr>
              <w:rPr>
                <w:rFonts w:ascii="Arial" w:hAnsi="Arial" w:cs="Arial"/>
                <w:sz w:val="24"/>
                <w:szCs w:val="24"/>
              </w:rPr>
            </w:pPr>
            <w:r w:rsidRPr="003D63E1">
              <w:rPr>
                <w:rFonts w:ascii="Arial" w:hAnsi="Arial" w:cs="Arial"/>
                <w:sz w:val="24"/>
                <w:szCs w:val="24"/>
              </w:rPr>
              <w:t>An existing service is carrying on processing the same personal data internally or sharing externally using a process previously agreed (if a DPIA is already in place we keep it reviewed).</w:t>
            </w:r>
          </w:p>
          <w:p w14:paraId="7719EE98" w14:textId="4A13A8DB" w:rsidR="003D63E1" w:rsidRPr="003D63E1" w:rsidRDefault="003D63E1" w:rsidP="003D63E1">
            <w:pPr>
              <w:pStyle w:val="ListParagraph"/>
              <w:ind w:left="510"/>
              <w:rPr>
                <w:rFonts w:ascii="Arial" w:hAnsi="Arial" w:cs="Arial"/>
                <w:sz w:val="24"/>
                <w:szCs w:val="24"/>
              </w:rPr>
            </w:pPr>
          </w:p>
        </w:tc>
        <w:tc>
          <w:tcPr>
            <w:tcW w:w="1650" w:type="dxa"/>
          </w:tcPr>
          <w:p w14:paraId="38E342AB" w14:textId="77777777" w:rsidR="007717C2" w:rsidRPr="00111F24" w:rsidRDefault="007717C2" w:rsidP="007D40A0">
            <w:pPr>
              <w:rPr>
                <w:rFonts w:ascii="Arial" w:hAnsi="Arial" w:cs="Arial"/>
                <w:sz w:val="24"/>
                <w:szCs w:val="24"/>
              </w:rPr>
            </w:pPr>
            <w:r w:rsidRPr="00111F24">
              <w:rPr>
                <w:rFonts w:ascii="Arial" w:hAnsi="Arial" w:cs="Arial"/>
                <w:sz w:val="24"/>
                <w:szCs w:val="24"/>
              </w:rPr>
              <w:t>NO</w:t>
            </w:r>
          </w:p>
          <w:p w14:paraId="018160EF" w14:textId="77777777" w:rsidR="007717C2" w:rsidRPr="00111F24" w:rsidRDefault="007717C2" w:rsidP="007D40A0">
            <w:pPr>
              <w:rPr>
                <w:rFonts w:ascii="Arial" w:hAnsi="Arial" w:cs="Arial"/>
                <w:sz w:val="24"/>
                <w:szCs w:val="24"/>
              </w:rPr>
            </w:pPr>
          </w:p>
        </w:tc>
      </w:tr>
      <w:tr w:rsidR="007717C2" w:rsidRPr="00111F24" w14:paraId="688E1118" w14:textId="77777777" w:rsidTr="007D40A0">
        <w:tc>
          <w:tcPr>
            <w:tcW w:w="7366" w:type="dxa"/>
          </w:tcPr>
          <w:p w14:paraId="4276291A" w14:textId="77777777" w:rsidR="007717C2" w:rsidRDefault="007717C2" w:rsidP="003D63E1">
            <w:pPr>
              <w:pStyle w:val="ListParagraph"/>
              <w:numPr>
                <w:ilvl w:val="0"/>
                <w:numId w:val="37"/>
              </w:numPr>
              <w:rPr>
                <w:rFonts w:ascii="Arial" w:hAnsi="Arial" w:cs="Arial"/>
                <w:sz w:val="24"/>
                <w:szCs w:val="24"/>
              </w:rPr>
            </w:pPr>
            <w:r w:rsidRPr="003D63E1">
              <w:rPr>
                <w:rFonts w:ascii="Arial" w:hAnsi="Arial" w:cs="Arial"/>
                <w:sz w:val="24"/>
                <w:szCs w:val="24"/>
              </w:rPr>
              <w:t>The asset owner has changed, the line managers and other personnel have changed for an existing service (but information assets remain ‘owned’ and any existing DPIA is kept under review).</w:t>
            </w:r>
          </w:p>
          <w:p w14:paraId="7FC226CB" w14:textId="5DF2B0D1" w:rsidR="003D63E1" w:rsidRPr="003D63E1" w:rsidRDefault="003D63E1" w:rsidP="003D63E1">
            <w:pPr>
              <w:pStyle w:val="ListParagraph"/>
              <w:ind w:left="510"/>
              <w:rPr>
                <w:rFonts w:ascii="Arial" w:hAnsi="Arial" w:cs="Arial"/>
                <w:sz w:val="24"/>
                <w:szCs w:val="24"/>
              </w:rPr>
            </w:pPr>
          </w:p>
        </w:tc>
        <w:tc>
          <w:tcPr>
            <w:tcW w:w="1650" w:type="dxa"/>
          </w:tcPr>
          <w:p w14:paraId="5657275D" w14:textId="77777777" w:rsidR="007717C2" w:rsidRPr="00111F24" w:rsidRDefault="007717C2" w:rsidP="007D40A0">
            <w:pPr>
              <w:rPr>
                <w:rFonts w:ascii="Arial" w:hAnsi="Arial" w:cs="Arial"/>
                <w:sz w:val="24"/>
                <w:szCs w:val="24"/>
              </w:rPr>
            </w:pPr>
            <w:r w:rsidRPr="00111F24">
              <w:rPr>
                <w:rFonts w:ascii="Arial" w:hAnsi="Arial" w:cs="Arial"/>
                <w:sz w:val="24"/>
                <w:szCs w:val="24"/>
              </w:rPr>
              <w:t>NO</w:t>
            </w:r>
          </w:p>
        </w:tc>
      </w:tr>
      <w:tr w:rsidR="007717C2" w:rsidRPr="00111F24" w14:paraId="4D370FC7" w14:textId="77777777" w:rsidTr="007D40A0">
        <w:tc>
          <w:tcPr>
            <w:tcW w:w="7366" w:type="dxa"/>
          </w:tcPr>
          <w:p w14:paraId="5C4BAB2C" w14:textId="77777777" w:rsidR="007717C2" w:rsidRDefault="007717C2" w:rsidP="003D63E1">
            <w:pPr>
              <w:pStyle w:val="ListParagraph"/>
              <w:numPr>
                <w:ilvl w:val="0"/>
                <w:numId w:val="37"/>
              </w:numPr>
              <w:rPr>
                <w:rFonts w:ascii="Arial" w:hAnsi="Arial" w:cs="Arial"/>
                <w:sz w:val="24"/>
                <w:szCs w:val="24"/>
              </w:rPr>
            </w:pPr>
            <w:r w:rsidRPr="003D63E1">
              <w:rPr>
                <w:rFonts w:ascii="Arial" w:hAnsi="Arial" w:cs="Arial"/>
                <w:sz w:val="24"/>
                <w:szCs w:val="24"/>
              </w:rPr>
              <w:t>We did a DPIA some</w:t>
            </w:r>
            <w:r w:rsidR="00B11BEE" w:rsidRPr="003D63E1">
              <w:rPr>
                <w:rFonts w:ascii="Arial" w:hAnsi="Arial" w:cs="Arial"/>
                <w:sz w:val="24"/>
                <w:szCs w:val="24"/>
              </w:rPr>
              <w:t xml:space="preserve"> </w:t>
            </w:r>
            <w:r w:rsidRPr="003D63E1">
              <w:rPr>
                <w:rFonts w:ascii="Arial" w:hAnsi="Arial" w:cs="Arial"/>
                <w:sz w:val="24"/>
                <w:szCs w:val="24"/>
              </w:rPr>
              <w:t>time ago, and there has been no substantial change to the data, access controls, processes or technology since then and no significant security or privacy issues raised.</w:t>
            </w:r>
          </w:p>
          <w:p w14:paraId="2D32BEA8" w14:textId="565A2BB5" w:rsidR="003D63E1" w:rsidRPr="003D63E1" w:rsidRDefault="003D63E1" w:rsidP="003D63E1">
            <w:pPr>
              <w:pStyle w:val="ListParagraph"/>
              <w:ind w:left="510"/>
              <w:rPr>
                <w:rFonts w:ascii="Arial" w:hAnsi="Arial" w:cs="Arial"/>
                <w:sz w:val="24"/>
                <w:szCs w:val="24"/>
              </w:rPr>
            </w:pPr>
          </w:p>
        </w:tc>
        <w:tc>
          <w:tcPr>
            <w:tcW w:w="1650" w:type="dxa"/>
          </w:tcPr>
          <w:p w14:paraId="0EC8ECF4" w14:textId="77777777" w:rsidR="007717C2" w:rsidRPr="00111F24" w:rsidRDefault="007717C2" w:rsidP="007D40A0">
            <w:pPr>
              <w:rPr>
                <w:rFonts w:ascii="Arial" w:hAnsi="Arial" w:cs="Arial"/>
                <w:sz w:val="24"/>
                <w:szCs w:val="24"/>
              </w:rPr>
            </w:pPr>
            <w:r w:rsidRPr="00111F24">
              <w:rPr>
                <w:rFonts w:ascii="Arial" w:hAnsi="Arial" w:cs="Arial"/>
                <w:sz w:val="24"/>
                <w:szCs w:val="24"/>
              </w:rPr>
              <w:t>NO, but must be kept under regular review</w:t>
            </w:r>
          </w:p>
        </w:tc>
      </w:tr>
      <w:tr w:rsidR="007717C2" w:rsidRPr="00111F24" w14:paraId="025F2691" w14:textId="77777777" w:rsidTr="007D40A0">
        <w:tc>
          <w:tcPr>
            <w:tcW w:w="7366" w:type="dxa"/>
          </w:tcPr>
          <w:p w14:paraId="1B6FDE8C" w14:textId="77777777" w:rsidR="007717C2" w:rsidRDefault="007717C2" w:rsidP="003D63E1">
            <w:pPr>
              <w:pStyle w:val="ListParagraph"/>
              <w:numPr>
                <w:ilvl w:val="0"/>
                <w:numId w:val="37"/>
              </w:numPr>
              <w:rPr>
                <w:rFonts w:ascii="Arial" w:hAnsi="Arial" w:cs="Arial"/>
                <w:sz w:val="24"/>
                <w:szCs w:val="24"/>
              </w:rPr>
            </w:pPr>
            <w:r w:rsidRPr="003D63E1">
              <w:rPr>
                <w:rFonts w:ascii="Arial" w:hAnsi="Arial" w:cs="Arial"/>
                <w:sz w:val="24"/>
                <w:szCs w:val="24"/>
              </w:rPr>
              <w:t>We are commencing a new project which uses a range of data but none of it is personal data as defined by GDPR/Data Protection Act (2018) and is not OFFICIAL SENSITIVE</w:t>
            </w:r>
            <w:r w:rsidR="003D63E1">
              <w:rPr>
                <w:rFonts w:ascii="Arial" w:hAnsi="Arial" w:cs="Arial"/>
                <w:sz w:val="24"/>
                <w:szCs w:val="24"/>
              </w:rPr>
              <w:t>.</w:t>
            </w:r>
          </w:p>
          <w:p w14:paraId="5465158A" w14:textId="3E42958C" w:rsidR="003D63E1" w:rsidRPr="003D63E1" w:rsidRDefault="003D63E1" w:rsidP="003D63E1">
            <w:pPr>
              <w:pStyle w:val="ListParagraph"/>
              <w:ind w:left="510"/>
              <w:rPr>
                <w:rFonts w:ascii="Arial" w:hAnsi="Arial" w:cs="Arial"/>
                <w:sz w:val="24"/>
                <w:szCs w:val="24"/>
              </w:rPr>
            </w:pPr>
          </w:p>
        </w:tc>
        <w:tc>
          <w:tcPr>
            <w:tcW w:w="1650" w:type="dxa"/>
          </w:tcPr>
          <w:p w14:paraId="44F83D94" w14:textId="77777777" w:rsidR="007717C2" w:rsidRPr="00111F24" w:rsidRDefault="007717C2" w:rsidP="007D40A0">
            <w:pPr>
              <w:rPr>
                <w:rFonts w:ascii="Arial" w:hAnsi="Arial" w:cs="Arial"/>
                <w:sz w:val="24"/>
                <w:szCs w:val="24"/>
              </w:rPr>
            </w:pPr>
            <w:r w:rsidRPr="00111F24">
              <w:rPr>
                <w:rFonts w:ascii="Arial" w:hAnsi="Arial" w:cs="Arial"/>
                <w:sz w:val="24"/>
                <w:szCs w:val="24"/>
              </w:rPr>
              <w:t>NO</w:t>
            </w:r>
          </w:p>
        </w:tc>
      </w:tr>
    </w:tbl>
    <w:p w14:paraId="6498CFF5" w14:textId="77777777" w:rsidR="007717C2" w:rsidRPr="007717C2" w:rsidRDefault="007717C2" w:rsidP="007717C2">
      <w:pPr>
        <w:pStyle w:val="ListParagraph"/>
        <w:spacing w:after="0" w:line="240" w:lineRule="auto"/>
        <w:ind w:left="680"/>
        <w:rPr>
          <w:rFonts w:ascii="Arial" w:hAnsi="Arial" w:cs="Arial"/>
          <w:sz w:val="24"/>
          <w:szCs w:val="24"/>
        </w:rPr>
      </w:pPr>
    </w:p>
    <w:p w14:paraId="123CAD24" w14:textId="5EDD0C13" w:rsidR="00E44B08" w:rsidRPr="004A1F32" w:rsidRDefault="17188259" w:rsidP="004A1F32">
      <w:pPr>
        <w:pStyle w:val="ListParagraph"/>
        <w:numPr>
          <w:ilvl w:val="0"/>
          <w:numId w:val="10"/>
        </w:numPr>
        <w:spacing w:after="0" w:line="240" w:lineRule="auto"/>
        <w:rPr>
          <w:rFonts w:ascii="Arial" w:hAnsi="Arial" w:cs="Arial"/>
          <w:sz w:val="24"/>
          <w:szCs w:val="24"/>
        </w:rPr>
      </w:pPr>
      <w:r w:rsidRPr="17188259">
        <w:rPr>
          <w:rFonts w:ascii="Arial" w:hAnsi="Arial" w:cs="Arial"/>
          <w:b/>
          <w:bCs/>
          <w:sz w:val="24"/>
          <w:szCs w:val="24"/>
        </w:rPr>
        <w:t>Is a DPIA enough to assess all information risks?</w:t>
      </w:r>
    </w:p>
    <w:p w14:paraId="61251748" w14:textId="66FB11F3" w:rsidR="004A1F32" w:rsidRDefault="004A1F32" w:rsidP="004A1F32">
      <w:pPr>
        <w:pStyle w:val="ListParagraph"/>
        <w:spacing w:after="0" w:line="240" w:lineRule="auto"/>
        <w:ind w:left="680"/>
        <w:rPr>
          <w:rFonts w:ascii="Arial" w:hAnsi="Arial" w:cs="Arial"/>
          <w:sz w:val="24"/>
          <w:szCs w:val="24"/>
        </w:rPr>
      </w:pPr>
    </w:p>
    <w:p w14:paraId="678F7947" w14:textId="4AF257B7" w:rsidR="004A1F32" w:rsidRDefault="004A1F32" w:rsidP="00EA270A">
      <w:pPr>
        <w:pStyle w:val="ListParagraph"/>
        <w:numPr>
          <w:ilvl w:val="1"/>
          <w:numId w:val="33"/>
        </w:numPr>
        <w:spacing w:after="0" w:line="240" w:lineRule="auto"/>
        <w:rPr>
          <w:rFonts w:ascii="Arial" w:hAnsi="Arial" w:cs="Arial"/>
          <w:sz w:val="24"/>
          <w:szCs w:val="24"/>
        </w:rPr>
      </w:pPr>
      <w:r w:rsidRPr="00EA270A">
        <w:rPr>
          <w:rFonts w:ascii="Arial" w:hAnsi="Arial" w:cs="Arial"/>
          <w:sz w:val="24"/>
          <w:szCs w:val="24"/>
        </w:rPr>
        <w:t xml:space="preserve">The emergence of cyber security risks means that there are cases where a supplementary information risk assessment needs to be carried out. The </w:t>
      </w:r>
      <w:r w:rsidR="003D63E1">
        <w:rPr>
          <w:rFonts w:ascii="Arial" w:hAnsi="Arial" w:cs="Arial"/>
          <w:sz w:val="24"/>
          <w:szCs w:val="24"/>
        </w:rPr>
        <w:t xml:space="preserve">DPO </w:t>
      </w:r>
      <w:r w:rsidRPr="00EA270A">
        <w:rPr>
          <w:rFonts w:ascii="Arial" w:hAnsi="Arial" w:cs="Arial"/>
          <w:sz w:val="24"/>
          <w:szCs w:val="24"/>
        </w:rPr>
        <w:t>and/or Information Security Manager can advise on this.</w:t>
      </w:r>
    </w:p>
    <w:p w14:paraId="2CD415FF" w14:textId="5F5CAA48" w:rsidR="00EA270A" w:rsidRDefault="00EA270A" w:rsidP="00EA270A">
      <w:pPr>
        <w:pStyle w:val="ListParagraph"/>
        <w:spacing w:after="0" w:line="240" w:lineRule="auto"/>
        <w:ind w:left="737"/>
        <w:rPr>
          <w:rFonts w:ascii="Arial" w:hAnsi="Arial" w:cs="Arial"/>
          <w:sz w:val="24"/>
          <w:szCs w:val="24"/>
        </w:rPr>
      </w:pPr>
    </w:p>
    <w:p w14:paraId="564554E6" w14:textId="3CD6EE58" w:rsidR="003D63E1" w:rsidRDefault="004A1F32" w:rsidP="004A1F32">
      <w:pPr>
        <w:pStyle w:val="ListParagraph"/>
        <w:numPr>
          <w:ilvl w:val="1"/>
          <w:numId w:val="33"/>
        </w:numPr>
        <w:spacing w:after="0" w:line="240" w:lineRule="auto"/>
        <w:rPr>
          <w:rFonts w:ascii="Arial" w:hAnsi="Arial" w:cs="Arial"/>
          <w:sz w:val="24"/>
          <w:szCs w:val="24"/>
        </w:rPr>
      </w:pPr>
      <w:r w:rsidRPr="00EA270A">
        <w:rPr>
          <w:rFonts w:ascii="Arial" w:hAnsi="Arial" w:cs="Arial"/>
          <w:sz w:val="24"/>
          <w:szCs w:val="24"/>
        </w:rPr>
        <w:lastRenderedPageBreak/>
        <w:t xml:space="preserve">A full information risk assessment goes into far more detail than a DPIA, and assesses security controls/vulnerabilities, threats, motivation of attackers, likelihood and impact. </w:t>
      </w:r>
      <w:r w:rsidR="003D63E1">
        <w:rPr>
          <w:rFonts w:ascii="Arial" w:hAnsi="Arial" w:cs="Arial"/>
          <w:sz w:val="24"/>
          <w:szCs w:val="24"/>
        </w:rPr>
        <w:t xml:space="preserve"> </w:t>
      </w:r>
      <w:r w:rsidRPr="00EA270A">
        <w:rPr>
          <w:rFonts w:ascii="Arial" w:hAnsi="Arial" w:cs="Arial"/>
          <w:sz w:val="24"/>
          <w:szCs w:val="24"/>
        </w:rPr>
        <w:t>A standard template is available</w:t>
      </w:r>
      <w:r w:rsidR="003D63E1">
        <w:rPr>
          <w:rFonts w:ascii="Arial" w:hAnsi="Arial" w:cs="Arial"/>
          <w:sz w:val="24"/>
          <w:szCs w:val="24"/>
        </w:rPr>
        <w:t xml:space="preserve"> </w:t>
      </w:r>
      <w:r w:rsidR="003D63E1" w:rsidRPr="003D63E1">
        <w:rPr>
          <w:rFonts w:ascii="Arial" w:hAnsi="Arial" w:cs="Arial"/>
          <w:sz w:val="24"/>
          <w:szCs w:val="24"/>
          <w:highlight w:val="yellow"/>
        </w:rPr>
        <w:t>[INSERT LINK]</w:t>
      </w:r>
      <w:r w:rsidRPr="00EA270A">
        <w:rPr>
          <w:rFonts w:ascii="Arial" w:hAnsi="Arial" w:cs="Arial"/>
          <w:sz w:val="24"/>
          <w:szCs w:val="24"/>
        </w:rPr>
        <w:t xml:space="preserve">. </w:t>
      </w:r>
      <w:r w:rsidR="003D63E1">
        <w:rPr>
          <w:rFonts w:ascii="Arial" w:hAnsi="Arial" w:cs="Arial"/>
          <w:sz w:val="24"/>
          <w:szCs w:val="24"/>
        </w:rPr>
        <w:t xml:space="preserve"> </w:t>
      </w:r>
      <w:r w:rsidRPr="00EA270A">
        <w:rPr>
          <w:rFonts w:ascii="Arial" w:hAnsi="Arial" w:cs="Arial"/>
          <w:sz w:val="24"/>
          <w:szCs w:val="24"/>
        </w:rPr>
        <w:t xml:space="preserve">This should usually be carried out by a security professional. </w:t>
      </w:r>
    </w:p>
    <w:p w14:paraId="1C828A4D" w14:textId="77777777" w:rsidR="003D63E1" w:rsidRDefault="003D63E1" w:rsidP="003D63E1">
      <w:pPr>
        <w:pStyle w:val="ListParagraph"/>
        <w:spacing w:after="0" w:line="240" w:lineRule="auto"/>
        <w:ind w:left="737"/>
        <w:rPr>
          <w:rFonts w:ascii="Arial" w:hAnsi="Arial" w:cs="Arial"/>
          <w:sz w:val="24"/>
          <w:szCs w:val="24"/>
        </w:rPr>
      </w:pPr>
    </w:p>
    <w:p w14:paraId="4635AEDE" w14:textId="31EC4F08" w:rsidR="004A1F32" w:rsidRPr="00EA270A" w:rsidRDefault="004A1F32" w:rsidP="004A1F32">
      <w:pPr>
        <w:pStyle w:val="ListParagraph"/>
        <w:numPr>
          <w:ilvl w:val="1"/>
          <w:numId w:val="33"/>
        </w:numPr>
        <w:spacing w:after="0" w:line="240" w:lineRule="auto"/>
        <w:rPr>
          <w:rFonts w:ascii="Arial" w:hAnsi="Arial" w:cs="Arial"/>
          <w:sz w:val="24"/>
          <w:szCs w:val="24"/>
        </w:rPr>
      </w:pPr>
      <w:r w:rsidRPr="00EA270A">
        <w:rPr>
          <w:rFonts w:ascii="Arial" w:hAnsi="Arial" w:cs="Arial"/>
          <w:sz w:val="24"/>
          <w:szCs w:val="24"/>
        </w:rPr>
        <w:t xml:space="preserve">If for example the organisation was putting in a major new IT system (e.g. case management or CRM) then it may consider this at procurement stage. Such an assessment may also be a pre-cursor to getting formal security accreditation for a system, service or network (e.g. PSN). </w:t>
      </w:r>
      <w:r w:rsidR="003D63E1">
        <w:rPr>
          <w:rFonts w:ascii="Arial" w:hAnsi="Arial" w:cs="Arial"/>
          <w:sz w:val="24"/>
          <w:szCs w:val="24"/>
        </w:rPr>
        <w:t xml:space="preserve"> </w:t>
      </w:r>
      <w:r w:rsidRPr="00EA270A">
        <w:rPr>
          <w:rFonts w:ascii="Arial" w:hAnsi="Arial" w:cs="Arial"/>
          <w:sz w:val="24"/>
          <w:szCs w:val="24"/>
        </w:rPr>
        <w:t xml:space="preserve">Another scenario is where there has been a significant information security incident, and this has necessitated </w:t>
      </w:r>
      <w:r w:rsidR="00B11BEE">
        <w:rPr>
          <w:rFonts w:ascii="Arial" w:hAnsi="Arial" w:cs="Arial"/>
          <w:sz w:val="24"/>
          <w:szCs w:val="24"/>
        </w:rPr>
        <w:t>an examination of</w:t>
      </w:r>
      <w:r w:rsidRPr="00EA270A">
        <w:rPr>
          <w:rFonts w:ascii="Arial" w:hAnsi="Arial" w:cs="Arial"/>
          <w:sz w:val="24"/>
          <w:szCs w:val="24"/>
        </w:rPr>
        <w:t xml:space="preserve"> the areas where security controls seemed to be deficient.</w:t>
      </w:r>
    </w:p>
    <w:p w14:paraId="7E06C635" w14:textId="77777777" w:rsidR="004A1F32" w:rsidRPr="004A1F32" w:rsidRDefault="004A1F32" w:rsidP="004A1F32">
      <w:pPr>
        <w:spacing w:after="0" w:line="240" w:lineRule="auto"/>
        <w:rPr>
          <w:rFonts w:ascii="Arial" w:hAnsi="Arial" w:cs="Arial"/>
          <w:sz w:val="24"/>
          <w:szCs w:val="24"/>
        </w:rPr>
      </w:pPr>
    </w:p>
    <w:p w14:paraId="0DB5FD9E" w14:textId="2F20D5CA" w:rsidR="009A513F" w:rsidRPr="004A1F32" w:rsidRDefault="17188259" w:rsidP="004A1F32">
      <w:pPr>
        <w:pStyle w:val="ListParagraph"/>
        <w:numPr>
          <w:ilvl w:val="0"/>
          <w:numId w:val="10"/>
        </w:numPr>
        <w:spacing w:after="0" w:line="240" w:lineRule="auto"/>
        <w:rPr>
          <w:rFonts w:ascii="Arial" w:hAnsi="Arial" w:cs="Arial"/>
          <w:sz w:val="24"/>
          <w:szCs w:val="24"/>
        </w:rPr>
      </w:pPr>
      <w:r w:rsidRPr="17188259">
        <w:rPr>
          <w:rFonts w:ascii="Arial" w:hAnsi="Arial" w:cs="Arial"/>
          <w:b/>
          <w:bCs/>
          <w:sz w:val="24"/>
          <w:szCs w:val="24"/>
        </w:rPr>
        <w:t>How do I complete the DPIA form?</w:t>
      </w:r>
    </w:p>
    <w:p w14:paraId="19B680C0" w14:textId="0975FB7A" w:rsidR="00066C16" w:rsidRDefault="00066C16" w:rsidP="00066C16">
      <w:pPr>
        <w:pStyle w:val="ListParagraph"/>
        <w:spacing w:after="0" w:line="240" w:lineRule="auto"/>
        <w:ind w:left="360"/>
        <w:rPr>
          <w:rFonts w:ascii="Arial" w:hAnsi="Arial" w:cs="Arial"/>
          <w:sz w:val="24"/>
          <w:szCs w:val="24"/>
        </w:rPr>
      </w:pPr>
    </w:p>
    <w:p w14:paraId="5C5AB048" w14:textId="5414E504" w:rsidR="004A1F32" w:rsidRPr="00066C16" w:rsidRDefault="004A1F32" w:rsidP="5E4B57BD">
      <w:pPr>
        <w:pStyle w:val="ListParagraph"/>
        <w:numPr>
          <w:ilvl w:val="1"/>
          <w:numId w:val="35"/>
        </w:numPr>
        <w:spacing w:after="0" w:line="240" w:lineRule="auto"/>
        <w:rPr>
          <w:rFonts w:ascii="Arial" w:hAnsi="Arial" w:cs="Arial"/>
          <w:sz w:val="24"/>
          <w:szCs w:val="24"/>
        </w:rPr>
      </w:pPr>
      <w:r w:rsidRPr="00066C16">
        <w:rPr>
          <w:rFonts w:ascii="Arial" w:hAnsi="Arial" w:cs="Arial"/>
          <w:sz w:val="24"/>
          <w:szCs w:val="24"/>
        </w:rPr>
        <w:t xml:space="preserve">The </w:t>
      </w:r>
      <w:r w:rsidR="003D63E1">
        <w:rPr>
          <w:rFonts w:ascii="Arial" w:hAnsi="Arial" w:cs="Arial"/>
          <w:sz w:val="24"/>
          <w:szCs w:val="24"/>
        </w:rPr>
        <w:t xml:space="preserve">DPIA </w:t>
      </w:r>
      <w:r w:rsidRPr="00066C16">
        <w:rPr>
          <w:rFonts w:ascii="Arial" w:hAnsi="Arial" w:cs="Arial"/>
          <w:sz w:val="24"/>
          <w:szCs w:val="24"/>
        </w:rPr>
        <w:t xml:space="preserve">form has a series of questions covering eight </w:t>
      </w:r>
      <w:r w:rsidR="003D63E1">
        <w:rPr>
          <w:rFonts w:ascii="Arial" w:hAnsi="Arial" w:cs="Arial"/>
          <w:sz w:val="24"/>
          <w:szCs w:val="24"/>
        </w:rPr>
        <w:t>areas</w:t>
      </w:r>
      <w:r w:rsidR="00F241ED">
        <w:rPr>
          <w:rFonts w:ascii="Arial" w:hAnsi="Arial" w:cs="Arial"/>
          <w:sz w:val="24"/>
          <w:szCs w:val="24"/>
        </w:rPr>
        <w:t>, all</w:t>
      </w:r>
      <w:r w:rsidRPr="00066C16">
        <w:rPr>
          <w:rFonts w:ascii="Arial" w:hAnsi="Arial" w:cs="Arial"/>
          <w:sz w:val="24"/>
          <w:szCs w:val="24"/>
        </w:rPr>
        <w:t xml:space="preserve"> of</w:t>
      </w:r>
      <w:r w:rsidR="003C4B3F" w:rsidRPr="00066C16">
        <w:rPr>
          <w:rFonts w:ascii="Arial" w:hAnsi="Arial" w:cs="Arial"/>
          <w:sz w:val="24"/>
          <w:szCs w:val="24"/>
        </w:rPr>
        <w:t xml:space="preserve"> which </w:t>
      </w:r>
      <w:r w:rsidRPr="00066C16">
        <w:rPr>
          <w:rFonts w:ascii="Arial" w:hAnsi="Arial" w:cs="Arial"/>
          <w:sz w:val="24"/>
          <w:szCs w:val="24"/>
        </w:rPr>
        <w:t xml:space="preserve">need to be completed. If a </w:t>
      </w:r>
      <w:proofErr w:type="gramStart"/>
      <w:r w:rsidRPr="00066C16">
        <w:rPr>
          <w:rFonts w:ascii="Arial" w:hAnsi="Arial" w:cs="Arial"/>
          <w:sz w:val="24"/>
          <w:szCs w:val="24"/>
        </w:rPr>
        <w:t>particular question</w:t>
      </w:r>
      <w:proofErr w:type="gramEnd"/>
      <w:r w:rsidRPr="00066C16">
        <w:rPr>
          <w:rFonts w:ascii="Arial" w:hAnsi="Arial" w:cs="Arial"/>
          <w:sz w:val="24"/>
          <w:szCs w:val="24"/>
        </w:rPr>
        <w:t xml:space="preserve"> is not applicable to your project, then </w:t>
      </w:r>
      <w:r w:rsidR="003D63E1">
        <w:rPr>
          <w:rFonts w:ascii="Arial" w:hAnsi="Arial" w:cs="Arial"/>
          <w:sz w:val="24"/>
          <w:szCs w:val="24"/>
        </w:rPr>
        <w:t xml:space="preserve">you need to </w:t>
      </w:r>
      <w:r w:rsidRPr="00066C16">
        <w:rPr>
          <w:rFonts w:ascii="Arial" w:hAnsi="Arial" w:cs="Arial"/>
          <w:sz w:val="24"/>
          <w:szCs w:val="24"/>
        </w:rPr>
        <w:t>insert ‘NA’</w:t>
      </w:r>
      <w:r w:rsidR="003D63E1">
        <w:rPr>
          <w:rFonts w:ascii="Arial" w:hAnsi="Arial" w:cs="Arial"/>
          <w:sz w:val="24"/>
          <w:szCs w:val="24"/>
        </w:rPr>
        <w:t xml:space="preserve"> into the relevant section</w:t>
      </w:r>
      <w:r w:rsidRPr="00066C16">
        <w:rPr>
          <w:rFonts w:ascii="Arial" w:hAnsi="Arial" w:cs="Arial"/>
          <w:sz w:val="24"/>
          <w:szCs w:val="24"/>
        </w:rPr>
        <w:t>.</w:t>
      </w:r>
      <w:r w:rsidR="00E20B20" w:rsidRPr="00066C16">
        <w:rPr>
          <w:rFonts w:ascii="Arial" w:hAnsi="Arial" w:cs="Arial"/>
          <w:sz w:val="24"/>
          <w:szCs w:val="24"/>
        </w:rPr>
        <w:t xml:space="preserve">  </w:t>
      </w:r>
      <w:r w:rsidR="006E1312" w:rsidRPr="00066C16">
        <w:rPr>
          <w:rFonts w:ascii="Arial" w:hAnsi="Arial" w:cs="Arial"/>
          <w:sz w:val="24"/>
          <w:szCs w:val="24"/>
        </w:rPr>
        <w:t xml:space="preserve">The guidance below follows the </w:t>
      </w:r>
      <w:r w:rsidR="00DE12DC" w:rsidRPr="00066C16">
        <w:rPr>
          <w:rFonts w:ascii="Arial" w:hAnsi="Arial" w:cs="Arial"/>
          <w:sz w:val="24"/>
          <w:szCs w:val="24"/>
        </w:rPr>
        <w:t xml:space="preserve">main </w:t>
      </w:r>
      <w:r w:rsidR="00FC5A25" w:rsidRPr="00066C16">
        <w:rPr>
          <w:rFonts w:ascii="Arial" w:hAnsi="Arial" w:cs="Arial"/>
          <w:sz w:val="24"/>
          <w:szCs w:val="24"/>
        </w:rPr>
        <w:t>sections</w:t>
      </w:r>
      <w:r w:rsidR="006E1312" w:rsidRPr="00066C16">
        <w:rPr>
          <w:rFonts w:ascii="Arial" w:hAnsi="Arial" w:cs="Arial"/>
          <w:sz w:val="24"/>
          <w:szCs w:val="24"/>
        </w:rPr>
        <w:t xml:space="preserve"> of the </w:t>
      </w:r>
      <w:r w:rsidR="001C232C" w:rsidRPr="00066C16">
        <w:rPr>
          <w:rFonts w:ascii="Arial" w:hAnsi="Arial" w:cs="Arial"/>
          <w:sz w:val="24"/>
          <w:szCs w:val="24"/>
        </w:rPr>
        <w:t>DPIA form.</w:t>
      </w:r>
    </w:p>
    <w:p w14:paraId="17664239" w14:textId="77777777" w:rsidR="002C572F" w:rsidRPr="00111F24" w:rsidRDefault="002C572F" w:rsidP="004A1F32">
      <w:pPr>
        <w:spacing w:after="0" w:line="240" w:lineRule="auto"/>
        <w:rPr>
          <w:rFonts w:ascii="Arial" w:hAnsi="Arial" w:cs="Arial"/>
          <w:sz w:val="24"/>
          <w:szCs w:val="24"/>
        </w:rPr>
      </w:pPr>
    </w:p>
    <w:p w14:paraId="1E299ECA" w14:textId="1034E441" w:rsidR="004A1F32" w:rsidRDefault="003D63E1" w:rsidP="004A1F32">
      <w:pPr>
        <w:spacing w:after="0" w:line="240" w:lineRule="auto"/>
        <w:rPr>
          <w:rFonts w:ascii="Arial" w:hAnsi="Arial" w:cs="Arial"/>
          <w:b/>
          <w:sz w:val="24"/>
          <w:szCs w:val="24"/>
        </w:rPr>
      </w:pPr>
      <w:r>
        <w:rPr>
          <w:rFonts w:ascii="Arial" w:hAnsi="Arial" w:cs="Arial"/>
          <w:b/>
          <w:sz w:val="24"/>
          <w:szCs w:val="24"/>
        </w:rPr>
        <w:t>SECTION 1</w:t>
      </w:r>
      <w:r w:rsidR="002C572F">
        <w:rPr>
          <w:rFonts w:ascii="Arial" w:hAnsi="Arial" w:cs="Arial"/>
          <w:b/>
          <w:sz w:val="24"/>
          <w:szCs w:val="24"/>
        </w:rPr>
        <w:t xml:space="preserve"> - </w:t>
      </w:r>
      <w:r w:rsidR="004A1F32" w:rsidRPr="00111F24">
        <w:rPr>
          <w:rFonts w:ascii="Arial" w:hAnsi="Arial" w:cs="Arial"/>
          <w:sz w:val="24"/>
          <w:szCs w:val="24"/>
        </w:rPr>
        <w:t xml:space="preserve">  </w:t>
      </w:r>
      <w:r w:rsidR="004A1F32" w:rsidRPr="00111F24">
        <w:rPr>
          <w:rFonts w:ascii="Arial" w:hAnsi="Arial" w:cs="Arial"/>
          <w:b/>
          <w:sz w:val="24"/>
          <w:szCs w:val="24"/>
        </w:rPr>
        <w:t>What are the business objectives?</w:t>
      </w:r>
    </w:p>
    <w:p w14:paraId="0072F6E7" w14:textId="77777777" w:rsidR="002C572F" w:rsidRPr="00111F24" w:rsidRDefault="002C572F" w:rsidP="004A1F32">
      <w:pPr>
        <w:spacing w:after="0" w:line="240" w:lineRule="auto"/>
        <w:rPr>
          <w:rFonts w:ascii="Arial" w:hAnsi="Arial" w:cs="Arial"/>
          <w:sz w:val="24"/>
          <w:szCs w:val="24"/>
        </w:rPr>
      </w:pPr>
    </w:p>
    <w:p w14:paraId="56B58E24" w14:textId="0E1AF19E" w:rsidR="008815A3" w:rsidRDefault="004A1F32" w:rsidP="00963400">
      <w:pPr>
        <w:pStyle w:val="ListParagraph"/>
        <w:numPr>
          <w:ilvl w:val="0"/>
          <w:numId w:val="13"/>
        </w:numPr>
        <w:spacing w:after="0" w:line="240" w:lineRule="auto"/>
        <w:rPr>
          <w:rFonts w:ascii="Arial" w:hAnsi="Arial" w:cs="Arial"/>
          <w:sz w:val="24"/>
          <w:szCs w:val="24"/>
        </w:rPr>
      </w:pPr>
      <w:r w:rsidRPr="00963400">
        <w:rPr>
          <w:rFonts w:ascii="Arial" w:hAnsi="Arial" w:cs="Arial"/>
          <w:sz w:val="24"/>
          <w:szCs w:val="24"/>
        </w:rPr>
        <w:t xml:space="preserve">You need to outline the name of the project or service in a few words, the business areas that it covers (and if it relates to another legal entity in the case of cross-organisational projects) and the date when you intend to commence. </w:t>
      </w:r>
    </w:p>
    <w:p w14:paraId="3AB3FB83" w14:textId="77777777" w:rsidR="008815A3" w:rsidRDefault="008815A3" w:rsidP="008815A3">
      <w:pPr>
        <w:pStyle w:val="ListParagraph"/>
        <w:spacing w:after="0" w:line="240" w:lineRule="auto"/>
        <w:rPr>
          <w:rFonts w:ascii="Arial" w:hAnsi="Arial" w:cs="Arial"/>
          <w:sz w:val="24"/>
          <w:szCs w:val="24"/>
        </w:rPr>
      </w:pPr>
    </w:p>
    <w:p w14:paraId="3DBD5CB0" w14:textId="44BFBC42" w:rsidR="004A1F32" w:rsidRDefault="004A1F32" w:rsidP="00963400">
      <w:pPr>
        <w:pStyle w:val="ListParagraph"/>
        <w:numPr>
          <w:ilvl w:val="0"/>
          <w:numId w:val="13"/>
        </w:numPr>
        <w:spacing w:after="0" w:line="240" w:lineRule="auto"/>
        <w:rPr>
          <w:rFonts w:ascii="Arial" w:hAnsi="Arial" w:cs="Arial"/>
          <w:sz w:val="24"/>
          <w:szCs w:val="24"/>
        </w:rPr>
      </w:pPr>
      <w:r w:rsidRPr="00963400">
        <w:rPr>
          <w:rFonts w:ascii="Arial" w:hAnsi="Arial" w:cs="Arial"/>
          <w:sz w:val="24"/>
          <w:szCs w:val="24"/>
        </w:rPr>
        <w:t xml:space="preserve">If you are carrying out a DPIA for a service which is already running you need to indicate when this commenced even if it was a long time ago. Just because a service - that involves processing personal data – is long established does not mean that it is low risk in terms of data protection. Check Table 1 </w:t>
      </w:r>
      <w:r w:rsidR="001C6344">
        <w:rPr>
          <w:rFonts w:ascii="Arial" w:hAnsi="Arial" w:cs="Arial"/>
          <w:sz w:val="24"/>
          <w:szCs w:val="24"/>
        </w:rPr>
        <w:t xml:space="preserve">above </w:t>
      </w:r>
      <w:r w:rsidR="001C6344" w:rsidRPr="001C6344">
        <w:rPr>
          <w:rFonts w:ascii="Arial" w:hAnsi="Arial" w:cs="Arial"/>
          <w:sz w:val="24"/>
          <w:szCs w:val="24"/>
          <w:highlight w:val="yellow"/>
        </w:rPr>
        <w:t>[INSERT LINK]</w:t>
      </w:r>
      <w:r w:rsidR="001C6344">
        <w:rPr>
          <w:rFonts w:ascii="Arial" w:hAnsi="Arial" w:cs="Arial"/>
          <w:sz w:val="24"/>
          <w:szCs w:val="24"/>
        </w:rPr>
        <w:t xml:space="preserve"> </w:t>
      </w:r>
      <w:r w:rsidRPr="00963400">
        <w:rPr>
          <w:rFonts w:ascii="Arial" w:hAnsi="Arial" w:cs="Arial"/>
          <w:sz w:val="24"/>
          <w:szCs w:val="24"/>
        </w:rPr>
        <w:t>to make sure you meet the test for doing a DPIA.</w:t>
      </w:r>
    </w:p>
    <w:p w14:paraId="11E78FF0" w14:textId="77777777" w:rsidR="00393299" w:rsidRDefault="00393299" w:rsidP="00393299">
      <w:pPr>
        <w:pStyle w:val="ListParagraph"/>
        <w:spacing w:after="0" w:line="240" w:lineRule="auto"/>
        <w:rPr>
          <w:rFonts w:ascii="Arial" w:hAnsi="Arial" w:cs="Arial"/>
          <w:sz w:val="24"/>
          <w:szCs w:val="24"/>
        </w:rPr>
      </w:pPr>
    </w:p>
    <w:p w14:paraId="24999359" w14:textId="1222BFAC" w:rsidR="004A1F32" w:rsidRDefault="004A1F32" w:rsidP="004A1F32">
      <w:pPr>
        <w:pStyle w:val="ListParagraph"/>
        <w:numPr>
          <w:ilvl w:val="0"/>
          <w:numId w:val="13"/>
        </w:numPr>
        <w:spacing w:after="0" w:line="240" w:lineRule="auto"/>
        <w:rPr>
          <w:rFonts w:ascii="Arial" w:hAnsi="Arial" w:cs="Arial"/>
          <w:sz w:val="24"/>
          <w:szCs w:val="24"/>
        </w:rPr>
      </w:pPr>
      <w:r w:rsidRPr="00393299">
        <w:rPr>
          <w:rFonts w:ascii="Arial" w:hAnsi="Arial" w:cs="Arial"/>
          <w:sz w:val="24"/>
          <w:szCs w:val="24"/>
        </w:rPr>
        <w:t>In less than 100 words you have an opportunity to summarise the project/service, and what purpose the personal data will be used for. Often there is a statutory or governmental driver for it (e.g. Home Office Troubled Families Programme or national social housing initiative etc.).</w:t>
      </w:r>
    </w:p>
    <w:p w14:paraId="5A1FD611" w14:textId="77777777" w:rsidR="00393299" w:rsidRDefault="00393299" w:rsidP="00393299">
      <w:pPr>
        <w:pStyle w:val="ListParagraph"/>
        <w:spacing w:after="0" w:line="240" w:lineRule="auto"/>
        <w:rPr>
          <w:rFonts w:ascii="Arial" w:hAnsi="Arial" w:cs="Arial"/>
          <w:sz w:val="24"/>
          <w:szCs w:val="24"/>
        </w:rPr>
      </w:pPr>
    </w:p>
    <w:p w14:paraId="4D4FEDC2" w14:textId="636C502F" w:rsidR="00A320A1" w:rsidRDefault="004A1F32" w:rsidP="004A1F32">
      <w:pPr>
        <w:pStyle w:val="ListParagraph"/>
        <w:numPr>
          <w:ilvl w:val="0"/>
          <w:numId w:val="13"/>
        </w:numPr>
        <w:spacing w:after="0" w:line="240" w:lineRule="auto"/>
        <w:rPr>
          <w:rFonts w:ascii="Arial" w:hAnsi="Arial" w:cs="Arial"/>
          <w:sz w:val="24"/>
          <w:szCs w:val="24"/>
        </w:rPr>
      </w:pPr>
      <w:r w:rsidRPr="00393299">
        <w:rPr>
          <w:rFonts w:ascii="Arial" w:hAnsi="Arial" w:cs="Arial"/>
          <w:sz w:val="24"/>
          <w:szCs w:val="24"/>
        </w:rPr>
        <w:t xml:space="preserve">It is important that you summarise the benefits of the project. There will usually always be some information/data protection risks, but often the public benefit of </w:t>
      </w:r>
      <w:r w:rsidR="00CB4E6D">
        <w:rPr>
          <w:rFonts w:ascii="Arial" w:hAnsi="Arial" w:cs="Arial"/>
          <w:sz w:val="24"/>
          <w:szCs w:val="24"/>
        </w:rPr>
        <w:t xml:space="preserve">a </w:t>
      </w:r>
      <w:r w:rsidRPr="00393299">
        <w:rPr>
          <w:rFonts w:ascii="Arial" w:hAnsi="Arial" w:cs="Arial"/>
          <w:sz w:val="24"/>
          <w:szCs w:val="24"/>
        </w:rPr>
        <w:t>project that processes personal data far outweighs the residual privacy/security risks</w:t>
      </w:r>
      <w:r w:rsidR="00CB4E6D">
        <w:rPr>
          <w:rFonts w:ascii="Arial" w:hAnsi="Arial" w:cs="Arial"/>
          <w:sz w:val="24"/>
          <w:szCs w:val="24"/>
        </w:rPr>
        <w:t>. A</w:t>
      </w:r>
      <w:r w:rsidR="00CB4E6D" w:rsidRPr="00393299">
        <w:rPr>
          <w:rFonts w:ascii="Arial" w:hAnsi="Arial" w:cs="Arial"/>
          <w:sz w:val="24"/>
          <w:szCs w:val="24"/>
        </w:rPr>
        <w:t xml:space="preserve"> </w:t>
      </w:r>
      <w:r w:rsidRPr="00393299">
        <w:rPr>
          <w:rFonts w:ascii="Arial" w:hAnsi="Arial" w:cs="Arial"/>
          <w:sz w:val="24"/>
          <w:szCs w:val="24"/>
        </w:rPr>
        <w:t>comprehensive DPIA is the best way to understand this.</w:t>
      </w:r>
    </w:p>
    <w:p w14:paraId="3C93F310" w14:textId="77777777" w:rsidR="00A320A1" w:rsidRDefault="00A320A1" w:rsidP="00A320A1">
      <w:pPr>
        <w:pStyle w:val="ListParagraph"/>
        <w:spacing w:after="0" w:line="240" w:lineRule="auto"/>
        <w:rPr>
          <w:rFonts w:ascii="Arial" w:hAnsi="Arial" w:cs="Arial"/>
          <w:sz w:val="24"/>
          <w:szCs w:val="24"/>
        </w:rPr>
      </w:pPr>
    </w:p>
    <w:p w14:paraId="32B674C8" w14:textId="76D74639" w:rsidR="004A1F32" w:rsidRDefault="004A1F32" w:rsidP="004A1F32">
      <w:pPr>
        <w:pStyle w:val="ListParagraph"/>
        <w:numPr>
          <w:ilvl w:val="0"/>
          <w:numId w:val="13"/>
        </w:numPr>
        <w:spacing w:after="0" w:line="240" w:lineRule="auto"/>
        <w:rPr>
          <w:rFonts w:ascii="Arial" w:hAnsi="Arial" w:cs="Arial"/>
          <w:sz w:val="24"/>
          <w:szCs w:val="24"/>
        </w:rPr>
      </w:pPr>
      <w:r w:rsidRPr="00393299">
        <w:rPr>
          <w:rFonts w:ascii="Arial" w:hAnsi="Arial" w:cs="Arial"/>
          <w:sz w:val="24"/>
          <w:szCs w:val="24"/>
        </w:rPr>
        <w:t>You should also mention whether there is a precedent for this type of processing elsewhere in the county or further afield. The fact that the type of personal data processing is already happening elsewhere is no guarantee that risks have been already adequately assessed (e.g. a vendor may have deployed an untested technology to multiple councils across England with no party doing a DPIA), but it is relevant.</w:t>
      </w:r>
    </w:p>
    <w:p w14:paraId="3BADEF2B" w14:textId="77777777" w:rsidR="00A320A1" w:rsidRDefault="00A320A1" w:rsidP="00A320A1">
      <w:pPr>
        <w:pStyle w:val="ListParagraph"/>
        <w:spacing w:after="0" w:line="240" w:lineRule="auto"/>
        <w:rPr>
          <w:rFonts w:ascii="Arial" w:hAnsi="Arial" w:cs="Arial"/>
          <w:sz w:val="24"/>
          <w:szCs w:val="24"/>
        </w:rPr>
      </w:pPr>
    </w:p>
    <w:p w14:paraId="1CAAE005" w14:textId="46FE44C9" w:rsidR="004A1F32" w:rsidRPr="001C6344" w:rsidRDefault="004A1F32" w:rsidP="001C6344">
      <w:pPr>
        <w:pStyle w:val="ListParagraph"/>
        <w:numPr>
          <w:ilvl w:val="0"/>
          <w:numId w:val="13"/>
        </w:numPr>
        <w:spacing w:after="0" w:line="240" w:lineRule="auto"/>
        <w:rPr>
          <w:rFonts w:ascii="Arial" w:hAnsi="Arial" w:cs="Arial"/>
          <w:sz w:val="24"/>
          <w:szCs w:val="24"/>
        </w:rPr>
      </w:pPr>
      <w:r w:rsidRPr="00A320A1">
        <w:rPr>
          <w:rFonts w:ascii="Arial" w:hAnsi="Arial" w:cs="Arial"/>
          <w:sz w:val="24"/>
          <w:szCs w:val="24"/>
        </w:rPr>
        <w:lastRenderedPageBreak/>
        <w:t xml:space="preserve">In some cases, a project could in theory be undertaken without using personal data at all (e.g. statistical work using aggregated data). </w:t>
      </w:r>
      <w:r w:rsidR="001C6344">
        <w:rPr>
          <w:rFonts w:ascii="Arial" w:hAnsi="Arial" w:cs="Arial"/>
          <w:sz w:val="24"/>
          <w:szCs w:val="24"/>
        </w:rPr>
        <w:t xml:space="preserve"> However, aggregated data may not give you the qualitative data you need for the project/service, and if this is the case, y</w:t>
      </w:r>
      <w:r w:rsidRPr="001C6344">
        <w:rPr>
          <w:rFonts w:ascii="Arial" w:hAnsi="Arial" w:cs="Arial"/>
          <w:sz w:val="24"/>
          <w:szCs w:val="24"/>
        </w:rPr>
        <w:t>ou need to outline what the impact would be if you could not use identifiable data (e.g. not able to identify clients and deliver a service at all and perhaps even health/safety risks as a result).</w:t>
      </w:r>
    </w:p>
    <w:p w14:paraId="103EF5A9" w14:textId="77777777" w:rsidR="00A320A1" w:rsidRDefault="00A320A1" w:rsidP="00A320A1">
      <w:pPr>
        <w:pStyle w:val="ListParagraph"/>
        <w:spacing w:after="0" w:line="240" w:lineRule="auto"/>
        <w:rPr>
          <w:rFonts w:ascii="Arial" w:hAnsi="Arial" w:cs="Arial"/>
          <w:sz w:val="24"/>
          <w:szCs w:val="24"/>
        </w:rPr>
      </w:pPr>
    </w:p>
    <w:p w14:paraId="6260DE9B" w14:textId="5F731DBC" w:rsidR="004A1F32" w:rsidRDefault="004A1F32" w:rsidP="004A1F32">
      <w:pPr>
        <w:pStyle w:val="ListParagraph"/>
        <w:numPr>
          <w:ilvl w:val="0"/>
          <w:numId w:val="13"/>
        </w:numPr>
        <w:spacing w:after="0" w:line="240" w:lineRule="auto"/>
        <w:rPr>
          <w:rFonts w:ascii="Arial" w:hAnsi="Arial" w:cs="Arial"/>
          <w:sz w:val="24"/>
          <w:szCs w:val="24"/>
        </w:rPr>
      </w:pPr>
      <w:r w:rsidRPr="00A320A1">
        <w:rPr>
          <w:rFonts w:ascii="Arial" w:hAnsi="Arial" w:cs="Arial"/>
          <w:sz w:val="24"/>
          <w:szCs w:val="24"/>
        </w:rPr>
        <w:t xml:space="preserve">Finally, you should note whether your project/service has already been through any governance structure (e.g. project board, IG committee, </w:t>
      </w:r>
      <w:r w:rsidR="001C6344">
        <w:rPr>
          <w:rFonts w:ascii="Arial" w:hAnsi="Arial" w:cs="Arial"/>
          <w:sz w:val="24"/>
          <w:szCs w:val="24"/>
        </w:rPr>
        <w:t xml:space="preserve">information assurance </w:t>
      </w:r>
      <w:r w:rsidR="00CB4E6D">
        <w:rPr>
          <w:rFonts w:ascii="Arial" w:hAnsi="Arial" w:cs="Arial"/>
          <w:sz w:val="24"/>
          <w:szCs w:val="24"/>
        </w:rPr>
        <w:t>g</w:t>
      </w:r>
      <w:r w:rsidR="00CB4E6D" w:rsidRPr="00A320A1">
        <w:rPr>
          <w:rFonts w:ascii="Arial" w:hAnsi="Arial" w:cs="Arial"/>
          <w:sz w:val="24"/>
          <w:szCs w:val="24"/>
        </w:rPr>
        <w:t xml:space="preserve">ateway </w:t>
      </w:r>
      <w:r w:rsidRPr="00A320A1">
        <w:rPr>
          <w:rFonts w:ascii="Arial" w:hAnsi="Arial" w:cs="Arial"/>
          <w:sz w:val="24"/>
          <w:szCs w:val="24"/>
        </w:rPr>
        <w:t>or finance review etc.) and whether any relevant issues on security/privacy were captured. You can append any relevant documentation as an annex. The aim of the DPIA process is to complement not replace any assurance work you have already undertaken.</w:t>
      </w:r>
    </w:p>
    <w:p w14:paraId="4EC0D883" w14:textId="77777777" w:rsidR="00B65742" w:rsidRPr="00A320A1" w:rsidRDefault="00B65742" w:rsidP="00B65742">
      <w:pPr>
        <w:pStyle w:val="ListParagraph"/>
        <w:spacing w:after="0" w:line="240" w:lineRule="auto"/>
        <w:rPr>
          <w:rFonts w:ascii="Arial" w:hAnsi="Arial" w:cs="Arial"/>
          <w:sz w:val="24"/>
          <w:szCs w:val="24"/>
        </w:rPr>
      </w:pPr>
    </w:p>
    <w:p w14:paraId="3948C264" w14:textId="645BD0BA" w:rsidR="004A1F32" w:rsidRDefault="00FE6B7A" w:rsidP="004A1F32">
      <w:pPr>
        <w:spacing w:after="0" w:line="240" w:lineRule="auto"/>
        <w:rPr>
          <w:rFonts w:ascii="Arial" w:hAnsi="Arial" w:cs="Arial"/>
          <w:b/>
          <w:sz w:val="24"/>
          <w:szCs w:val="24"/>
        </w:rPr>
      </w:pPr>
      <w:r>
        <w:rPr>
          <w:rFonts w:ascii="Arial" w:hAnsi="Arial" w:cs="Arial"/>
          <w:b/>
          <w:sz w:val="24"/>
          <w:szCs w:val="24"/>
        </w:rPr>
        <w:t>S</w:t>
      </w:r>
      <w:r w:rsidR="001C6344">
        <w:rPr>
          <w:rFonts w:ascii="Arial" w:hAnsi="Arial" w:cs="Arial"/>
          <w:b/>
          <w:sz w:val="24"/>
          <w:szCs w:val="24"/>
        </w:rPr>
        <w:t>ECTION</w:t>
      </w:r>
      <w:r>
        <w:rPr>
          <w:rFonts w:ascii="Arial" w:hAnsi="Arial" w:cs="Arial"/>
          <w:b/>
          <w:sz w:val="24"/>
          <w:szCs w:val="24"/>
        </w:rPr>
        <w:t xml:space="preserve"> 2 - </w:t>
      </w:r>
      <w:r w:rsidR="004A1F32" w:rsidRPr="00111F24">
        <w:rPr>
          <w:rFonts w:ascii="Arial" w:hAnsi="Arial" w:cs="Arial"/>
          <w:b/>
          <w:sz w:val="24"/>
          <w:szCs w:val="24"/>
        </w:rPr>
        <w:t>What personal data</w:t>
      </w:r>
      <w:r w:rsidR="00B65742">
        <w:rPr>
          <w:rFonts w:ascii="Arial" w:hAnsi="Arial" w:cs="Arial"/>
          <w:b/>
          <w:sz w:val="24"/>
          <w:szCs w:val="24"/>
        </w:rPr>
        <w:t xml:space="preserve"> or otherwise sensitive data</w:t>
      </w:r>
      <w:r w:rsidR="004A1F32" w:rsidRPr="00111F24">
        <w:rPr>
          <w:rFonts w:ascii="Arial" w:hAnsi="Arial" w:cs="Arial"/>
          <w:b/>
          <w:sz w:val="24"/>
          <w:szCs w:val="24"/>
        </w:rPr>
        <w:t xml:space="preserve"> do you wish to process? </w:t>
      </w:r>
    </w:p>
    <w:p w14:paraId="29155E95" w14:textId="77777777" w:rsidR="00B65742" w:rsidRPr="00111F24" w:rsidRDefault="00B65742" w:rsidP="004A1F32">
      <w:pPr>
        <w:spacing w:after="0" w:line="240" w:lineRule="auto"/>
        <w:rPr>
          <w:rFonts w:ascii="Arial" w:hAnsi="Arial" w:cs="Arial"/>
          <w:b/>
          <w:sz w:val="24"/>
          <w:szCs w:val="24"/>
        </w:rPr>
      </w:pPr>
    </w:p>
    <w:p w14:paraId="37564740" w14:textId="5D58789F" w:rsidR="004A1F32" w:rsidRDefault="004A1F32" w:rsidP="00B65742">
      <w:pPr>
        <w:pStyle w:val="ListParagraph"/>
        <w:numPr>
          <w:ilvl w:val="0"/>
          <w:numId w:val="14"/>
        </w:numPr>
        <w:spacing w:after="0" w:line="240" w:lineRule="auto"/>
        <w:rPr>
          <w:rFonts w:ascii="Arial" w:hAnsi="Arial" w:cs="Arial"/>
          <w:sz w:val="24"/>
          <w:szCs w:val="24"/>
        </w:rPr>
      </w:pPr>
      <w:r w:rsidRPr="00B65742">
        <w:rPr>
          <w:rFonts w:ascii="Arial" w:hAnsi="Arial" w:cs="Arial"/>
          <w:sz w:val="24"/>
          <w:szCs w:val="24"/>
        </w:rPr>
        <w:t xml:space="preserve">The risks to personal data depend a great deal on </w:t>
      </w:r>
      <w:r w:rsidR="001C6344">
        <w:rPr>
          <w:rFonts w:ascii="Arial" w:hAnsi="Arial" w:cs="Arial"/>
          <w:sz w:val="24"/>
          <w:szCs w:val="24"/>
        </w:rPr>
        <w:t xml:space="preserve">how </w:t>
      </w:r>
      <w:r w:rsidRPr="00B65742">
        <w:rPr>
          <w:rFonts w:ascii="Arial" w:hAnsi="Arial" w:cs="Arial"/>
          <w:sz w:val="24"/>
          <w:szCs w:val="24"/>
        </w:rPr>
        <w:t>sensitive the data is, the volumes</w:t>
      </w:r>
      <w:r w:rsidR="001C6344">
        <w:rPr>
          <w:rFonts w:ascii="Arial" w:hAnsi="Arial" w:cs="Arial"/>
          <w:sz w:val="24"/>
          <w:szCs w:val="24"/>
        </w:rPr>
        <w:t>,</w:t>
      </w:r>
      <w:r w:rsidRPr="00B65742">
        <w:rPr>
          <w:rFonts w:ascii="Arial" w:hAnsi="Arial" w:cs="Arial"/>
          <w:sz w:val="24"/>
          <w:szCs w:val="24"/>
        </w:rPr>
        <w:t xml:space="preserve"> and the impact that it has on individuals if it is not used as intended. </w:t>
      </w:r>
    </w:p>
    <w:p w14:paraId="3FFF4CD7" w14:textId="77777777" w:rsidR="00B65742" w:rsidRDefault="00B65742" w:rsidP="00B65742">
      <w:pPr>
        <w:pStyle w:val="ListParagraph"/>
        <w:spacing w:after="0" w:line="240" w:lineRule="auto"/>
        <w:rPr>
          <w:rFonts w:ascii="Arial" w:hAnsi="Arial" w:cs="Arial"/>
          <w:sz w:val="24"/>
          <w:szCs w:val="24"/>
        </w:rPr>
      </w:pPr>
    </w:p>
    <w:p w14:paraId="662304A5" w14:textId="5DA70AF7" w:rsidR="004A1F32" w:rsidRDefault="004A1F32" w:rsidP="004A1F32">
      <w:pPr>
        <w:pStyle w:val="ListParagraph"/>
        <w:numPr>
          <w:ilvl w:val="0"/>
          <w:numId w:val="14"/>
        </w:numPr>
        <w:spacing w:after="0" w:line="240" w:lineRule="auto"/>
        <w:rPr>
          <w:rFonts w:ascii="Arial" w:hAnsi="Arial" w:cs="Arial"/>
          <w:sz w:val="24"/>
          <w:szCs w:val="24"/>
        </w:rPr>
      </w:pPr>
      <w:r w:rsidRPr="00B65742">
        <w:rPr>
          <w:rFonts w:ascii="Arial" w:hAnsi="Arial" w:cs="Arial"/>
          <w:sz w:val="24"/>
          <w:szCs w:val="24"/>
        </w:rPr>
        <w:t xml:space="preserve">As a start you need to indicate which of the data in scope will be AMBER and RED (see ANNEX </w:t>
      </w:r>
      <w:r w:rsidR="001C6344" w:rsidRPr="001C6344">
        <w:rPr>
          <w:rFonts w:ascii="Arial" w:hAnsi="Arial" w:cs="Arial"/>
          <w:sz w:val="24"/>
          <w:szCs w:val="24"/>
          <w:highlight w:val="yellow"/>
        </w:rPr>
        <w:t>[INSERT LINK]</w:t>
      </w:r>
      <w:r w:rsidR="001C6344">
        <w:rPr>
          <w:rFonts w:ascii="Arial" w:hAnsi="Arial" w:cs="Arial"/>
          <w:sz w:val="24"/>
          <w:szCs w:val="24"/>
        </w:rPr>
        <w:t xml:space="preserve"> </w:t>
      </w:r>
      <w:r w:rsidRPr="00B65742">
        <w:rPr>
          <w:rFonts w:ascii="Arial" w:hAnsi="Arial" w:cs="Arial"/>
          <w:sz w:val="24"/>
          <w:szCs w:val="24"/>
        </w:rPr>
        <w:t>for descriptions if in doubt).</w:t>
      </w:r>
      <w:r w:rsidR="00B65742">
        <w:rPr>
          <w:rFonts w:ascii="Arial" w:hAnsi="Arial" w:cs="Arial"/>
          <w:sz w:val="24"/>
          <w:szCs w:val="24"/>
        </w:rPr>
        <w:t xml:space="preserve">  </w:t>
      </w:r>
      <w:r w:rsidRPr="00B65742">
        <w:rPr>
          <w:rFonts w:ascii="Arial" w:hAnsi="Arial" w:cs="Arial"/>
          <w:sz w:val="24"/>
          <w:szCs w:val="24"/>
        </w:rPr>
        <w:t>For example, if you are just going to process names, addresses and use a unique case number then that is AMBER, whereas if you want to process social care case notes then these will be RED level.</w:t>
      </w:r>
    </w:p>
    <w:p w14:paraId="2CBC6DE1" w14:textId="77777777" w:rsidR="00B65742" w:rsidRDefault="00B65742" w:rsidP="00B65742">
      <w:pPr>
        <w:pStyle w:val="ListParagraph"/>
        <w:spacing w:after="0" w:line="240" w:lineRule="auto"/>
        <w:rPr>
          <w:rFonts w:ascii="Arial" w:hAnsi="Arial" w:cs="Arial"/>
          <w:sz w:val="24"/>
          <w:szCs w:val="24"/>
        </w:rPr>
      </w:pPr>
    </w:p>
    <w:p w14:paraId="68761C4F" w14:textId="67F0A012" w:rsidR="004A1F32" w:rsidRDefault="004A1F32" w:rsidP="004A1F32">
      <w:pPr>
        <w:pStyle w:val="ListParagraph"/>
        <w:numPr>
          <w:ilvl w:val="0"/>
          <w:numId w:val="14"/>
        </w:numPr>
        <w:spacing w:after="0" w:line="240" w:lineRule="auto"/>
        <w:rPr>
          <w:rFonts w:ascii="Arial" w:hAnsi="Arial" w:cs="Arial"/>
          <w:sz w:val="24"/>
          <w:szCs w:val="24"/>
        </w:rPr>
      </w:pPr>
      <w:r w:rsidRPr="00B65742">
        <w:rPr>
          <w:rFonts w:ascii="Arial" w:hAnsi="Arial" w:cs="Arial"/>
          <w:sz w:val="24"/>
          <w:szCs w:val="24"/>
        </w:rPr>
        <w:t xml:space="preserve">You should also list the other types of non-sensitive data that is to be processed at the same time. Note: often a surprising amount of data fields become ‘personal data’ because they can be attributed to an identifiable person. For example, a list of appointment slots, a list of addresses and a list of mobility aids become personal data if linked to </w:t>
      </w:r>
      <w:r w:rsidR="00DF012A">
        <w:rPr>
          <w:rFonts w:ascii="Arial" w:hAnsi="Arial" w:cs="Arial"/>
          <w:sz w:val="24"/>
          <w:szCs w:val="24"/>
        </w:rPr>
        <w:t xml:space="preserve">a </w:t>
      </w:r>
      <w:r w:rsidRPr="00B65742">
        <w:rPr>
          <w:rFonts w:ascii="Arial" w:hAnsi="Arial" w:cs="Arial"/>
          <w:sz w:val="24"/>
          <w:szCs w:val="24"/>
        </w:rPr>
        <w:t xml:space="preserve">corresponding list of customer names.  </w:t>
      </w:r>
    </w:p>
    <w:p w14:paraId="7010C3A3" w14:textId="77777777" w:rsidR="00FC5A25" w:rsidRDefault="00FC5A25" w:rsidP="00FC5A25">
      <w:pPr>
        <w:pStyle w:val="ListParagraph"/>
        <w:spacing w:after="0" w:line="240" w:lineRule="auto"/>
        <w:rPr>
          <w:rFonts w:ascii="Arial" w:hAnsi="Arial" w:cs="Arial"/>
          <w:sz w:val="24"/>
          <w:szCs w:val="24"/>
        </w:rPr>
      </w:pPr>
    </w:p>
    <w:p w14:paraId="1628F1E5" w14:textId="2EDBF389" w:rsidR="004A1F32" w:rsidRDefault="004A1F32" w:rsidP="004A1F32">
      <w:pPr>
        <w:pStyle w:val="ListParagraph"/>
        <w:numPr>
          <w:ilvl w:val="0"/>
          <w:numId w:val="14"/>
        </w:numPr>
        <w:spacing w:after="0" w:line="240" w:lineRule="auto"/>
        <w:rPr>
          <w:rFonts w:ascii="Arial" w:hAnsi="Arial" w:cs="Arial"/>
          <w:sz w:val="24"/>
          <w:szCs w:val="24"/>
        </w:rPr>
      </w:pPr>
      <w:r w:rsidRPr="00FC5A25">
        <w:rPr>
          <w:rFonts w:ascii="Arial" w:hAnsi="Arial" w:cs="Arial"/>
          <w:sz w:val="24"/>
          <w:szCs w:val="24"/>
        </w:rPr>
        <w:t>You should also indicate if you are collecting the above data for the first time (e.g. we have always collected personal data from our housing customers, but we now wish to collect ethnicity/race in a new form).</w:t>
      </w:r>
    </w:p>
    <w:p w14:paraId="471A931B" w14:textId="77777777" w:rsidR="00172D54" w:rsidRDefault="00172D54" w:rsidP="00172D54">
      <w:pPr>
        <w:pStyle w:val="ListParagraph"/>
        <w:spacing w:after="0" w:line="240" w:lineRule="auto"/>
        <w:rPr>
          <w:rFonts w:ascii="Arial" w:hAnsi="Arial" w:cs="Arial"/>
          <w:sz w:val="24"/>
          <w:szCs w:val="24"/>
        </w:rPr>
      </w:pPr>
    </w:p>
    <w:p w14:paraId="3BD4A6F3" w14:textId="4613F4FA" w:rsidR="004A1F32" w:rsidRDefault="004A1F32" w:rsidP="004A1F32">
      <w:pPr>
        <w:pStyle w:val="ListParagraph"/>
        <w:numPr>
          <w:ilvl w:val="0"/>
          <w:numId w:val="14"/>
        </w:numPr>
        <w:spacing w:after="0" w:line="240" w:lineRule="auto"/>
        <w:rPr>
          <w:rFonts w:ascii="Arial" w:hAnsi="Arial" w:cs="Arial"/>
          <w:sz w:val="24"/>
          <w:szCs w:val="24"/>
        </w:rPr>
      </w:pPr>
      <w:r w:rsidRPr="00DE12DC">
        <w:rPr>
          <w:rFonts w:ascii="Arial" w:hAnsi="Arial" w:cs="Arial"/>
          <w:sz w:val="24"/>
          <w:szCs w:val="24"/>
        </w:rPr>
        <w:t xml:space="preserve">Knowing the volume of personal data is </w:t>
      </w:r>
      <w:r w:rsidR="00466C3C">
        <w:rPr>
          <w:rFonts w:ascii="Arial" w:hAnsi="Arial" w:cs="Arial"/>
          <w:sz w:val="24"/>
          <w:szCs w:val="24"/>
        </w:rPr>
        <w:t>important</w:t>
      </w:r>
      <w:r w:rsidRPr="00DE12DC">
        <w:rPr>
          <w:rFonts w:ascii="Arial" w:hAnsi="Arial" w:cs="Arial"/>
          <w:sz w:val="24"/>
          <w:szCs w:val="24"/>
        </w:rPr>
        <w:t>. Even if you cannot be precise (e.g. a new public health online service where you are not sure on likely uptake) there should be an indication of whether it is 10s, 100s or 1000s.</w:t>
      </w:r>
    </w:p>
    <w:p w14:paraId="16E212E7" w14:textId="77777777" w:rsidR="00DE12DC" w:rsidRDefault="00DE12DC" w:rsidP="00DE12DC">
      <w:pPr>
        <w:pStyle w:val="ListParagraph"/>
        <w:spacing w:after="0" w:line="240" w:lineRule="auto"/>
        <w:rPr>
          <w:rFonts w:ascii="Arial" w:hAnsi="Arial" w:cs="Arial"/>
          <w:sz w:val="24"/>
          <w:szCs w:val="24"/>
        </w:rPr>
      </w:pPr>
    </w:p>
    <w:p w14:paraId="68157A10" w14:textId="7A786E62" w:rsidR="004A1F32" w:rsidRDefault="004A1F32" w:rsidP="004A1F32">
      <w:pPr>
        <w:pStyle w:val="ListParagraph"/>
        <w:numPr>
          <w:ilvl w:val="0"/>
          <w:numId w:val="14"/>
        </w:numPr>
        <w:spacing w:after="0" w:line="240" w:lineRule="auto"/>
        <w:rPr>
          <w:rFonts w:ascii="Arial" w:hAnsi="Arial" w:cs="Arial"/>
          <w:sz w:val="24"/>
          <w:szCs w:val="24"/>
        </w:rPr>
      </w:pPr>
      <w:r w:rsidRPr="00DE12DC">
        <w:rPr>
          <w:rFonts w:ascii="Arial" w:hAnsi="Arial" w:cs="Arial"/>
          <w:sz w:val="24"/>
          <w:szCs w:val="24"/>
        </w:rPr>
        <w:t xml:space="preserve">Data Protection legislation only relates to living persons, but there is other legislation and common law which relates to dead people (e.g. access to medical records) so you need to say whether you intend to process personal data only on living people and whether it could also encompass </w:t>
      </w:r>
      <w:r w:rsidR="00466C3C">
        <w:rPr>
          <w:rFonts w:ascii="Arial" w:hAnsi="Arial" w:cs="Arial"/>
          <w:sz w:val="24"/>
          <w:szCs w:val="24"/>
        </w:rPr>
        <w:t>t</w:t>
      </w:r>
      <w:r w:rsidR="001C6344">
        <w:rPr>
          <w:rFonts w:ascii="Arial" w:hAnsi="Arial" w:cs="Arial"/>
          <w:sz w:val="24"/>
          <w:szCs w:val="24"/>
        </w:rPr>
        <w:t xml:space="preserve">he </w:t>
      </w:r>
      <w:r w:rsidR="00466C3C">
        <w:rPr>
          <w:rFonts w:ascii="Arial" w:hAnsi="Arial" w:cs="Arial"/>
          <w:sz w:val="24"/>
          <w:szCs w:val="24"/>
        </w:rPr>
        <w:t>deceased</w:t>
      </w:r>
      <w:r w:rsidRPr="00DE12DC">
        <w:rPr>
          <w:rFonts w:ascii="Arial" w:hAnsi="Arial" w:cs="Arial"/>
          <w:sz w:val="24"/>
          <w:szCs w:val="24"/>
        </w:rPr>
        <w:t>.</w:t>
      </w:r>
    </w:p>
    <w:p w14:paraId="7104C0CF" w14:textId="77777777" w:rsidR="00AE7217" w:rsidRDefault="00AE7217" w:rsidP="00AE7217">
      <w:pPr>
        <w:pStyle w:val="ListParagraph"/>
        <w:spacing w:after="0" w:line="240" w:lineRule="auto"/>
        <w:rPr>
          <w:rFonts w:ascii="Arial" w:hAnsi="Arial" w:cs="Arial"/>
          <w:sz w:val="24"/>
          <w:szCs w:val="24"/>
        </w:rPr>
      </w:pPr>
    </w:p>
    <w:p w14:paraId="1AF8A416" w14:textId="748BBAED" w:rsidR="004A1F32" w:rsidRDefault="004A1F32" w:rsidP="004A1F32">
      <w:pPr>
        <w:pStyle w:val="ListParagraph"/>
        <w:numPr>
          <w:ilvl w:val="0"/>
          <w:numId w:val="14"/>
        </w:numPr>
        <w:spacing w:after="0" w:line="240" w:lineRule="auto"/>
        <w:rPr>
          <w:rFonts w:ascii="Arial" w:hAnsi="Arial" w:cs="Arial"/>
          <w:sz w:val="24"/>
          <w:szCs w:val="24"/>
        </w:rPr>
      </w:pPr>
      <w:r w:rsidRPr="00AE7217">
        <w:rPr>
          <w:rFonts w:ascii="Arial" w:hAnsi="Arial" w:cs="Arial"/>
          <w:sz w:val="24"/>
          <w:szCs w:val="24"/>
        </w:rPr>
        <w:t>Indicate whether you are going to be using one or more unique health identifiers as part of the processing. Even within organisations there are often several</w:t>
      </w:r>
      <w:r w:rsidR="00516C8A">
        <w:rPr>
          <w:rFonts w:ascii="Arial" w:hAnsi="Arial" w:cs="Arial"/>
          <w:sz w:val="24"/>
          <w:szCs w:val="24"/>
        </w:rPr>
        <w:t xml:space="preserve"> reference</w:t>
      </w:r>
      <w:r w:rsidRPr="00AE7217">
        <w:rPr>
          <w:rFonts w:ascii="Arial" w:hAnsi="Arial" w:cs="Arial"/>
          <w:sz w:val="24"/>
          <w:szCs w:val="24"/>
        </w:rPr>
        <w:t xml:space="preserve"> numbers (e.g. for housing, council tax etc.) and you may be cross-referencing identifiers from elsewhere (e.g. NHS number). Use of such numbers is vital for identifying people and delivering public services.</w:t>
      </w:r>
      <w:r w:rsidR="001C63F4">
        <w:rPr>
          <w:rFonts w:ascii="Arial" w:hAnsi="Arial" w:cs="Arial"/>
          <w:sz w:val="24"/>
          <w:szCs w:val="24"/>
        </w:rPr>
        <w:t xml:space="preserve">  </w:t>
      </w:r>
      <w:r w:rsidR="00516C8A">
        <w:rPr>
          <w:rFonts w:ascii="Arial" w:hAnsi="Arial" w:cs="Arial"/>
          <w:sz w:val="24"/>
          <w:szCs w:val="24"/>
        </w:rPr>
        <w:t>N</w:t>
      </w:r>
      <w:r w:rsidR="00516C8A" w:rsidRPr="00AE7217">
        <w:rPr>
          <w:rFonts w:ascii="Arial" w:hAnsi="Arial" w:cs="Arial"/>
          <w:sz w:val="24"/>
          <w:szCs w:val="24"/>
        </w:rPr>
        <w:t xml:space="preserve">ot </w:t>
      </w:r>
      <w:r w:rsidRPr="00AE7217">
        <w:rPr>
          <w:rFonts w:ascii="Arial" w:hAnsi="Arial" w:cs="Arial"/>
          <w:sz w:val="24"/>
          <w:szCs w:val="24"/>
        </w:rPr>
        <w:t xml:space="preserve">all numbers are put </w:t>
      </w:r>
      <w:r w:rsidRPr="00AE7217">
        <w:rPr>
          <w:rFonts w:ascii="Arial" w:hAnsi="Arial" w:cs="Arial"/>
          <w:sz w:val="24"/>
          <w:szCs w:val="24"/>
        </w:rPr>
        <w:lastRenderedPageBreak/>
        <w:t>into the public domain or even known by the customers in the same way as their National Insurance number for example. Databases of these numbers/identifiers need to be adequately safeguarded to prevent identity and other kinds of fraud or misuse</w:t>
      </w:r>
      <w:r w:rsidR="00AE7217">
        <w:rPr>
          <w:rFonts w:ascii="Arial" w:hAnsi="Arial" w:cs="Arial"/>
          <w:sz w:val="24"/>
          <w:szCs w:val="24"/>
        </w:rPr>
        <w:t>.</w:t>
      </w:r>
    </w:p>
    <w:p w14:paraId="1D5A7F91" w14:textId="77777777" w:rsidR="00AE7217" w:rsidRDefault="00AE7217" w:rsidP="00AE7217">
      <w:pPr>
        <w:pStyle w:val="ListParagraph"/>
        <w:spacing w:after="0" w:line="240" w:lineRule="auto"/>
        <w:rPr>
          <w:rFonts w:ascii="Arial" w:hAnsi="Arial" w:cs="Arial"/>
          <w:sz w:val="24"/>
          <w:szCs w:val="24"/>
        </w:rPr>
      </w:pPr>
    </w:p>
    <w:p w14:paraId="10FDE948" w14:textId="315DBF96" w:rsidR="00AE7217" w:rsidRDefault="004A1F32" w:rsidP="004A1F32">
      <w:pPr>
        <w:pStyle w:val="ListParagraph"/>
        <w:numPr>
          <w:ilvl w:val="0"/>
          <w:numId w:val="14"/>
        </w:numPr>
        <w:spacing w:after="0" w:line="240" w:lineRule="auto"/>
        <w:rPr>
          <w:rFonts w:ascii="Arial" w:hAnsi="Arial" w:cs="Arial"/>
          <w:sz w:val="24"/>
          <w:szCs w:val="24"/>
        </w:rPr>
      </w:pPr>
      <w:r w:rsidRPr="00AE7217">
        <w:rPr>
          <w:rFonts w:ascii="Arial" w:hAnsi="Arial" w:cs="Arial"/>
          <w:sz w:val="24"/>
          <w:szCs w:val="24"/>
        </w:rPr>
        <w:t>It is also relevant to indicate whether other unique numbers that do not relate to living people but to places or assets (e.g. unique property reference number UPRN, Land Registry number etc.)</w:t>
      </w:r>
      <w:r w:rsidR="00F25BC3">
        <w:rPr>
          <w:rFonts w:ascii="Arial" w:hAnsi="Arial" w:cs="Arial"/>
          <w:sz w:val="24"/>
          <w:szCs w:val="24"/>
        </w:rPr>
        <w:t xml:space="preserve"> are used as part of the processing</w:t>
      </w:r>
      <w:r w:rsidRPr="00AE7217">
        <w:rPr>
          <w:rFonts w:ascii="Arial" w:hAnsi="Arial" w:cs="Arial"/>
          <w:sz w:val="24"/>
          <w:szCs w:val="24"/>
        </w:rPr>
        <w:t>.</w:t>
      </w:r>
    </w:p>
    <w:p w14:paraId="1334CBAC" w14:textId="77777777" w:rsidR="00AE7217" w:rsidRDefault="00AE7217" w:rsidP="00AE7217">
      <w:pPr>
        <w:pStyle w:val="ListParagraph"/>
        <w:spacing w:after="0" w:line="240" w:lineRule="auto"/>
        <w:rPr>
          <w:rFonts w:ascii="Arial" w:hAnsi="Arial" w:cs="Arial"/>
          <w:sz w:val="24"/>
          <w:szCs w:val="24"/>
        </w:rPr>
      </w:pPr>
    </w:p>
    <w:p w14:paraId="6CC9F518" w14:textId="2F8F0358" w:rsidR="004A1F32" w:rsidRDefault="004A1F32" w:rsidP="004A1F32">
      <w:pPr>
        <w:pStyle w:val="ListParagraph"/>
        <w:numPr>
          <w:ilvl w:val="0"/>
          <w:numId w:val="14"/>
        </w:numPr>
        <w:spacing w:after="0" w:line="240" w:lineRule="auto"/>
        <w:rPr>
          <w:rFonts w:ascii="Arial" w:hAnsi="Arial" w:cs="Arial"/>
          <w:sz w:val="24"/>
          <w:szCs w:val="24"/>
        </w:rPr>
      </w:pPr>
      <w:r w:rsidRPr="00AE7217">
        <w:rPr>
          <w:rFonts w:ascii="Arial" w:hAnsi="Arial" w:cs="Arial"/>
          <w:sz w:val="24"/>
          <w:szCs w:val="24"/>
        </w:rPr>
        <w:t>Finally, although the focus of a DPIA is on personal data, it is important to assess projects/services which process sensitive non-personal data. The impact of misuse of data in areas such as ongoing investigations, commercial and legal discussions can be high. The definition of RED in annex A should be used as a guide.</w:t>
      </w:r>
    </w:p>
    <w:p w14:paraId="2805A20C" w14:textId="77777777" w:rsidR="00AE7217" w:rsidRPr="00AE7217" w:rsidRDefault="00AE7217" w:rsidP="009A7677">
      <w:pPr>
        <w:pStyle w:val="ListParagraph"/>
        <w:spacing w:after="0" w:line="240" w:lineRule="auto"/>
        <w:rPr>
          <w:rFonts w:ascii="Arial" w:hAnsi="Arial" w:cs="Arial"/>
          <w:sz w:val="24"/>
          <w:szCs w:val="24"/>
        </w:rPr>
      </w:pPr>
    </w:p>
    <w:p w14:paraId="1ACC9DBF" w14:textId="3AF9030A" w:rsidR="004A1F32" w:rsidRDefault="00AA4F0D" w:rsidP="004A1F32">
      <w:pPr>
        <w:spacing w:after="0" w:line="240" w:lineRule="auto"/>
        <w:rPr>
          <w:rFonts w:ascii="Arial" w:hAnsi="Arial" w:cs="Arial"/>
          <w:b/>
          <w:sz w:val="24"/>
          <w:szCs w:val="24"/>
        </w:rPr>
      </w:pPr>
      <w:r>
        <w:rPr>
          <w:rFonts w:ascii="Arial" w:hAnsi="Arial" w:cs="Arial"/>
          <w:b/>
          <w:sz w:val="24"/>
          <w:szCs w:val="24"/>
        </w:rPr>
        <w:t>S</w:t>
      </w:r>
      <w:r w:rsidR="007D72D3">
        <w:rPr>
          <w:rFonts w:ascii="Arial" w:hAnsi="Arial" w:cs="Arial"/>
          <w:b/>
          <w:sz w:val="24"/>
          <w:szCs w:val="24"/>
        </w:rPr>
        <w:t>ECTION</w:t>
      </w:r>
      <w:r>
        <w:rPr>
          <w:rFonts w:ascii="Arial" w:hAnsi="Arial" w:cs="Arial"/>
          <w:b/>
          <w:sz w:val="24"/>
          <w:szCs w:val="24"/>
        </w:rPr>
        <w:t xml:space="preserve"> 3 - </w:t>
      </w:r>
      <w:r w:rsidR="004A1F32" w:rsidRPr="00111F24">
        <w:rPr>
          <w:rFonts w:ascii="Arial" w:hAnsi="Arial" w:cs="Arial"/>
          <w:b/>
          <w:sz w:val="24"/>
          <w:szCs w:val="24"/>
        </w:rPr>
        <w:t>Who owns or controls the personal data?</w:t>
      </w:r>
    </w:p>
    <w:p w14:paraId="3DD017BC" w14:textId="77777777" w:rsidR="00E345DB" w:rsidRPr="00111F24" w:rsidRDefault="00E345DB" w:rsidP="004A1F32">
      <w:pPr>
        <w:spacing w:after="0" w:line="240" w:lineRule="auto"/>
        <w:rPr>
          <w:rFonts w:ascii="Arial" w:hAnsi="Arial" w:cs="Arial"/>
          <w:b/>
          <w:sz w:val="24"/>
          <w:szCs w:val="24"/>
        </w:rPr>
      </w:pPr>
    </w:p>
    <w:p w14:paraId="1D3D9BF5" w14:textId="67E16A4D" w:rsidR="00DE0886" w:rsidRDefault="004A1F32" w:rsidP="00E345DB">
      <w:pPr>
        <w:pStyle w:val="ListParagraph"/>
        <w:numPr>
          <w:ilvl w:val="0"/>
          <w:numId w:val="15"/>
        </w:numPr>
        <w:spacing w:after="0" w:line="240" w:lineRule="auto"/>
        <w:rPr>
          <w:rFonts w:ascii="Arial" w:hAnsi="Arial" w:cs="Arial"/>
          <w:sz w:val="24"/>
          <w:szCs w:val="24"/>
        </w:rPr>
      </w:pPr>
      <w:r w:rsidRPr="00E345DB">
        <w:rPr>
          <w:rFonts w:ascii="Arial" w:hAnsi="Arial" w:cs="Arial"/>
          <w:sz w:val="24"/>
          <w:szCs w:val="24"/>
        </w:rPr>
        <w:t>In terms of data protection law, it is the data controller that is responsible for the purpose and means by which the data is processed (and is held accountable and can be liable). This controller can be a person or other legal entity. You need to be clear which legal entity is the data controller</w:t>
      </w:r>
      <w:r w:rsidR="007D72D3">
        <w:rPr>
          <w:rStyle w:val="CommentReference"/>
        </w:rPr>
        <w:t xml:space="preserve"> </w:t>
      </w:r>
      <w:r w:rsidR="007D72D3" w:rsidRPr="007D72D3">
        <w:rPr>
          <w:rStyle w:val="CommentReference"/>
          <w:rFonts w:ascii="Arial" w:hAnsi="Arial" w:cs="Arial"/>
          <w:sz w:val="24"/>
          <w:szCs w:val="24"/>
          <w:highlight w:val="yellow"/>
        </w:rPr>
        <w:t>[INSERT LINK]</w:t>
      </w:r>
      <w:r w:rsidR="007D72D3">
        <w:rPr>
          <w:rStyle w:val="CommentReference"/>
          <w:rFonts w:ascii="Arial" w:hAnsi="Arial" w:cs="Arial"/>
          <w:sz w:val="24"/>
          <w:szCs w:val="24"/>
        </w:rPr>
        <w:t xml:space="preserve"> </w:t>
      </w:r>
      <w:r w:rsidRPr="00E345DB">
        <w:rPr>
          <w:rFonts w:ascii="Arial" w:hAnsi="Arial" w:cs="Arial"/>
          <w:sz w:val="24"/>
          <w:szCs w:val="24"/>
        </w:rPr>
        <w:t>or the personal data in scope of the project/service (e.g. x council). Sometimes there can be a joint data controller situation (e.g. council x and council y both contribute data to the project which is to be used for the same purpose).</w:t>
      </w:r>
    </w:p>
    <w:p w14:paraId="6C64FE43" w14:textId="77777777" w:rsidR="00DE0886" w:rsidRDefault="00DE0886" w:rsidP="00DE0886">
      <w:pPr>
        <w:pStyle w:val="ListParagraph"/>
        <w:spacing w:after="0" w:line="240" w:lineRule="auto"/>
        <w:rPr>
          <w:rFonts w:ascii="Arial" w:hAnsi="Arial" w:cs="Arial"/>
          <w:sz w:val="24"/>
          <w:szCs w:val="24"/>
        </w:rPr>
      </w:pPr>
    </w:p>
    <w:p w14:paraId="593D7B56" w14:textId="0E1C4AB1" w:rsidR="004A1F32" w:rsidRDefault="004A1F32" w:rsidP="004A1F32">
      <w:pPr>
        <w:pStyle w:val="ListParagraph"/>
        <w:numPr>
          <w:ilvl w:val="0"/>
          <w:numId w:val="15"/>
        </w:numPr>
        <w:spacing w:after="0" w:line="240" w:lineRule="auto"/>
        <w:rPr>
          <w:rFonts w:ascii="Arial" w:hAnsi="Arial" w:cs="Arial"/>
          <w:sz w:val="24"/>
          <w:szCs w:val="24"/>
        </w:rPr>
      </w:pPr>
      <w:r w:rsidRPr="00E345DB">
        <w:rPr>
          <w:rFonts w:ascii="Arial" w:hAnsi="Arial" w:cs="Arial"/>
          <w:sz w:val="24"/>
          <w:szCs w:val="24"/>
        </w:rPr>
        <w:t xml:space="preserve"> </w:t>
      </w:r>
      <w:r w:rsidRPr="00DE0886">
        <w:rPr>
          <w:rFonts w:ascii="Arial" w:hAnsi="Arial" w:cs="Arial"/>
          <w:sz w:val="24"/>
          <w:szCs w:val="24"/>
        </w:rPr>
        <w:t>If you are filling in a DPIA form in a joint data controller situation you need to be clear whether you are doing this on behalf of one of the partners or all of them (e.g. x 3 councils are sharing data as part of a project but agree to have just one DPIA to cover all the personal data rather than do their own individual organisational assessment).</w:t>
      </w:r>
    </w:p>
    <w:p w14:paraId="6E6A26B7" w14:textId="77777777" w:rsidR="00205B40" w:rsidRDefault="00205B40" w:rsidP="00205B40">
      <w:pPr>
        <w:pStyle w:val="ListParagraph"/>
        <w:spacing w:after="0" w:line="240" w:lineRule="auto"/>
        <w:rPr>
          <w:rFonts w:ascii="Arial" w:hAnsi="Arial" w:cs="Arial"/>
          <w:sz w:val="24"/>
          <w:szCs w:val="24"/>
        </w:rPr>
      </w:pPr>
    </w:p>
    <w:p w14:paraId="26B16B55" w14:textId="5CBC4DC2" w:rsidR="004A1F32" w:rsidRDefault="004A1F32" w:rsidP="004A1F32">
      <w:pPr>
        <w:pStyle w:val="ListParagraph"/>
        <w:numPr>
          <w:ilvl w:val="0"/>
          <w:numId w:val="15"/>
        </w:numPr>
        <w:spacing w:after="0" w:line="240" w:lineRule="auto"/>
        <w:rPr>
          <w:rFonts w:ascii="Arial" w:hAnsi="Arial" w:cs="Arial"/>
          <w:sz w:val="24"/>
          <w:szCs w:val="24"/>
        </w:rPr>
      </w:pPr>
      <w:r w:rsidRPr="00E32C28">
        <w:rPr>
          <w:rFonts w:ascii="Arial" w:hAnsi="Arial" w:cs="Arial"/>
          <w:sz w:val="24"/>
          <w:szCs w:val="24"/>
        </w:rPr>
        <w:t xml:space="preserve">Apart from overall legal data protection requirements, organisations should agree on ownership of information assets at a more local level. It should be the ‘owners’ who agree on the DPIA work, and key information assets should be registered </w:t>
      </w:r>
      <w:r w:rsidR="003133E8">
        <w:rPr>
          <w:rFonts w:ascii="Arial" w:hAnsi="Arial" w:cs="Arial"/>
          <w:sz w:val="24"/>
          <w:szCs w:val="24"/>
        </w:rPr>
        <w:t>on</w:t>
      </w:r>
      <w:r w:rsidR="003133E8" w:rsidRPr="00E32C28">
        <w:rPr>
          <w:rFonts w:ascii="Arial" w:hAnsi="Arial" w:cs="Arial"/>
          <w:sz w:val="24"/>
          <w:szCs w:val="24"/>
        </w:rPr>
        <w:t xml:space="preserve"> </w:t>
      </w:r>
      <w:r w:rsidRPr="00E32C28">
        <w:rPr>
          <w:rFonts w:ascii="Arial" w:hAnsi="Arial" w:cs="Arial"/>
          <w:sz w:val="24"/>
          <w:szCs w:val="24"/>
        </w:rPr>
        <w:t xml:space="preserve">an ‘information asset register’. These should be indicated </w:t>
      </w:r>
      <w:r w:rsidR="003133E8">
        <w:rPr>
          <w:rFonts w:ascii="Arial" w:hAnsi="Arial" w:cs="Arial"/>
          <w:sz w:val="24"/>
          <w:szCs w:val="24"/>
        </w:rPr>
        <w:t>i</w:t>
      </w:r>
      <w:r w:rsidR="003133E8" w:rsidRPr="00E32C28">
        <w:rPr>
          <w:rFonts w:ascii="Arial" w:hAnsi="Arial" w:cs="Arial"/>
          <w:sz w:val="24"/>
          <w:szCs w:val="24"/>
        </w:rPr>
        <w:t xml:space="preserve">n </w:t>
      </w:r>
      <w:r w:rsidRPr="00E32C28">
        <w:rPr>
          <w:rFonts w:ascii="Arial" w:hAnsi="Arial" w:cs="Arial"/>
          <w:sz w:val="24"/>
          <w:szCs w:val="24"/>
        </w:rPr>
        <w:t xml:space="preserve">the DPIA as far as possible (e.g. data on child demographics is to be processed, and this forms part of the ‘child social care case management system’). </w:t>
      </w:r>
    </w:p>
    <w:p w14:paraId="62153EFD" w14:textId="77777777" w:rsidR="00E32C28" w:rsidRPr="00E32C28" w:rsidRDefault="00E32C28" w:rsidP="00E32C28">
      <w:pPr>
        <w:pStyle w:val="ListParagraph"/>
        <w:spacing w:after="0" w:line="240" w:lineRule="auto"/>
        <w:rPr>
          <w:rFonts w:ascii="Arial" w:hAnsi="Arial" w:cs="Arial"/>
          <w:sz w:val="24"/>
          <w:szCs w:val="24"/>
        </w:rPr>
      </w:pPr>
    </w:p>
    <w:p w14:paraId="7F6F7497" w14:textId="5A2E4630" w:rsidR="004A1F32" w:rsidRDefault="00E5034D" w:rsidP="004A1F32">
      <w:pPr>
        <w:spacing w:after="0" w:line="240" w:lineRule="auto"/>
        <w:rPr>
          <w:rFonts w:ascii="Arial" w:hAnsi="Arial" w:cs="Arial"/>
          <w:b/>
          <w:sz w:val="24"/>
          <w:szCs w:val="24"/>
        </w:rPr>
      </w:pPr>
      <w:r>
        <w:rPr>
          <w:rFonts w:ascii="Arial" w:hAnsi="Arial" w:cs="Arial"/>
          <w:b/>
          <w:sz w:val="24"/>
          <w:szCs w:val="24"/>
        </w:rPr>
        <w:t>S</w:t>
      </w:r>
      <w:r w:rsidR="007D72D3">
        <w:rPr>
          <w:rFonts w:ascii="Arial" w:hAnsi="Arial" w:cs="Arial"/>
          <w:b/>
          <w:sz w:val="24"/>
          <w:szCs w:val="24"/>
        </w:rPr>
        <w:t>ECTION</w:t>
      </w:r>
      <w:r>
        <w:rPr>
          <w:rFonts w:ascii="Arial" w:hAnsi="Arial" w:cs="Arial"/>
          <w:b/>
          <w:sz w:val="24"/>
          <w:szCs w:val="24"/>
        </w:rPr>
        <w:t xml:space="preserve"> </w:t>
      </w:r>
      <w:r w:rsidR="00FE6AD0">
        <w:rPr>
          <w:rFonts w:ascii="Arial" w:hAnsi="Arial" w:cs="Arial"/>
          <w:b/>
          <w:sz w:val="24"/>
          <w:szCs w:val="24"/>
        </w:rPr>
        <w:t>4 -</w:t>
      </w:r>
      <w:r w:rsidR="004A1F32" w:rsidRPr="00111F24">
        <w:rPr>
          <w:rFonts w:ascii="Arial" w:hAnsi="Arial" w:cs="Arial"/>
          <w:b/>
          <w:sz w:val="24"/>
          <w:szCs w:val="24"/>
        </w:rPr>
        <w:t xml:space="preserve"> Do you have lawful basis for general personal data processing?</w:t>
      </w:r>
    </w:p>
    <w:p w14:paraId="2B97F3FB" w14:textId="77777777" w:rsidR="00FE6AD0" w:rsidRPr="00111F24" w:rsidRDefault="00FE6AD0" w:rsidP="004A1F32">
      <w:pPr>
        <w:spacing w:after="0" w:line="240" w:lineRule="auto"/>
        <w:rPr>
          <w:rFonts w:ascii="Arial" w:hAnsi="Arial" w:cs="Arial"/>
          <w:b/>
          <w:sz w:val="24"/>
          <w:szCs w:val="24"/>
        </w:rPr>
      </w:pPr>
    </w:p>
    <w:p w14:paraId="71D8C774" w14:textId="4B0BC5DB" w:rsidR="004A1F32" w:rsidRDefault="004A1F32" w:rsidP="00FE6AD0">
      <w:pPr>
        <w:pStyle w:val="ListParagraph"/>
        <w:numPr>
          <w:ilvl w:val="0"/>
          <w:numId w:val="16"/>
        </w:numPr>
        <w:spacing w:after="0" w:line="240" w:lineRule="auto"/>
        <w:rPr>
          <w:rFonts w:ascii="Arial" w:hAnsi="Arial" w:cs="Arial"/>
          <w:sz w:val="24"/>
          <w:szCs w:val="24"/>
        </w:rPr>
      </w:pPr>
      <w:r w:rsidRPr="00FE6AD0">
        <w:rPr>
          <w:rFonts w:ascii="Arial" w:hAnsi="Arial" w:cs="Arial"/>
          <w:sz w:val="24"/>
          <w:szCs w:val="24"/>
        </w:rPr>
        <w:t xml:space="preserve">You must be clear on the lawful basis </w:t>
      </w:r>
      <w:r w:rsidR="007D72D3" w:rsidRPr="007D72D3">
        <w:rPr>
          <w:rFonts w:ascii="Arial" w:hAnsi="Arial" w:cs="Arial"/>
          <w:sz w:val="24"/>
          <w:szCs w:val="24"/>
          <w:highlight w:val="yellow"/>
        </w:rPr>
        <w:t>[INSERT LINK]</w:t>
      </w:r>
      <w:r w:rsidR="007D72D3">
        <w:rPr>
          <w:rFonts w:ascii="Arial" w:hAnsi="Arial" w:cs="Arial"/>
          <w:sz w:val="24"/>
          <w:szCs w:val="24"/>
        </w:rPr>
        <w:t xml:space="preserve"> </w:t>
      </w:r>
      <w:r w:rsidRPr="00FE6AD0">
        <w:rPr>
          <w:rFonts w:ascii="Arial" w:hAnsi="Arial" w:cs="Arial"/>
          <w:sz w:val="24"/>
          <w:szCs w:val="24"/>
        </w:rPr>
        <w:t>for processing personal data at the outset. This may sound obvious, but it is a complex area and not well understood. For example, obtaining consent from the data subject (i.e. customers, clients, patients etc.) is a lawful basis but not the only one. There are cases of where consent is used as a lawful basis in a public authority context, which then turns out to be inappropriate. Consent is not necessary for many of the activities which a local authority needs to carry out (often by statute or common law).</w:t>
      </w:r>
    </w:p>
    <w:p w14:paraId="258EC440" w14:textId="77777777" w:rsidR="00FE6AD0" w:rsidRDefault="00FE6AD0" w:rsidP="00FE6AD0">
      <w:pPr>
        <w:pStyle w:val="ListParagraph"/>
        <w:spacing w:after="0" w:line="240" w:lineRule="auto"/>
        <w:rPr>
          <w:rFonts w:ascii="Arial" w:hAnsi="Arial" w:cs="Arial"/>
          <w:sz w:val="24"/>
          <w:szCs w:val="24"/>
        </w:rPr>
      </w:pPr>
    </w:p>
    <w:p w14:paraId="24689E0F" w14:textId="568B4DD8" w:rsidR="004A1F32" w:rsidRDefault="004A1F32" w:rsidP="004A1F32">
      <w:pPr>
        <w:pStyle w:val="ListParagraph"/>
        <w:numPr>
          <w:ilvl w:val="0"/>
          <w:numId w:val="16"/>
        </w:numPr>
        <w:spacing w:after="0" w:line="240" w:lineRule="auto"/>
        <w:rPr>
          <w:rFonts w:ascii="Arial" w:hAnsi="Arial" w:cs="Arial"/>
          <w:sz w:val="24"/>
          <w:szCs w:val="24"/>
        </w:rPr>
      </w:pPr>
      <w:r w:rsidRPr="00FE6AD0">
        <w:rPr>
          <w:rFonts w:ascii="Arial" w:hAnsi="Arial" w:cs="Arial"/>
          <w:sz w:val="24"/>
          <w:szCs w:val="24"/>
        </w:rPr>
        <w:lastRenderedPageBreak/>
        <w:t xml:space="preserve">It is important to spend some time identifying the right lawful basis at the outset. Failure to do this and ‘chopping and changing as you go along’, could result in a </w:t>
      </w:r>
      <w:r w:rsidR="00334C2B">
        <w:rPr>
          <w:rFonts w:ascii="Arial" w:hAnsi="Arial" w:cs="Arial"/>
          <w:sz w:val="24"/>
          <w:szCs w:val="24"/>
        </w:rPr>
        <w:t xml:space="preserve">potential </w:t>
      </w:r>
      <w:r w:rsidRPr="00FE6AD0">
        <w:rPr>
          <w:rFonts w:ascii="Arial" w:hAnsi="Arial" w:cs="Arial"/>
          <w:sz w:val="24"/>
          <w:szCs w:val="24"/>
        </w:rPr>
        <w:t>data breach and/or regulator action.</w:t>
      </w:r>
    </w:p>
    <w:p w14:paraId="2F2ECCE6" w14:textId="77777777" w:rsidR="00296A1F" w:rsidRDefault="00296A1F" w:rsidP="00296A1F">
      <w:pPr>
        <w:pStyle w:val="ListParagraph"/>
        <w:spacing w:after="0" w:line="240" w:lineRule="auto"/>
        <w:rPr>
          <w:rFonts w:ascii="Arial" w:hAnsi="Arial" w:cs="Arial"/>
          <w:sz w:val="24"/>
          <w:szCs w:val="24"/>
        </w:rPr>
      </w:pPr>
    </w:p>
    <w:p w14:paraId="608D1D24" w14:textId="550EA032" w:rsidR="004A1F32" w:rsidRDefault="004A1F32" w:rsidP="004A1F32">
      <w:pPr>
        <w:pStyle w:val="ListParagraph"/>
        <w:numPr>
          <w:ilvl w:val="0"/>
          <w:numId w:val="16"/>
        </w:numPr>
        <w:spacing w:after="0" w:line="240" w:lineRule="auto"/>
        <w:rPr>
          <w:rFonts w:ascii="Arial" w:hAnsi="Arial" w:cs="Arial"/>
          <w:sz w:val="24"/>
          <w:szCs w:val="24"/>
        </w:rPr>
      </w:pPr>
      <w:r w:rsidRPr="00296A1F">
        <w:rPr>
          <w:rFonts w:ascii="Arial" w:hAnsi="Arial" w:cs="Arial"/>
          <w:sz w:val="24"/>
          <w:szCs w:val="24"/>
        </w:rPr>
        <w:t>If you intend to process</w:t>
      </w:r>
      <w:r w:rsidRPr="00296A1F">
        <w:rPr>
          <w:rFonts w:ascii="Arial" w:hAnsi="Arial" w:cs="Arial"/>
          <w:b/>
          <w:i/>
          <w:sz w:val="24"/>
          <w:szCs w:val="24"/>
        </w:rPr>
        <w:t xml:space="preserve"> any</w:t>
      </w:r>
      <w:r w:rsidRPr="00296A1F">
        <w:rPr>
          <w:rFonts w:ascii="Arial" w:hAnsi="Arial" w:cs="Arial"/>
          <w:sz w:val="24"/>
          <w:szCs w:val="24"/>
        </w:rPr>
        <w:t xml:space="preserve"> personal data, you need to select a legal basis from </w:t>
      </w:r>
      <w:r w:rsidR="00140066">
        <w:rPr>
          <w:rFonts w:ascii="Arial" w:hAnsi="Arial" w:cs="Arial"/>
          <w:sz w:val="24"/>
          <w:szCs w:val="24"/>
        </w:rPr>
        <w:t xml:space="preserve">List A </w:t>
      </w:r>
      <w:r w:rsidR="00981BCB">
        <w:rPr>
          <w:rFonts w:ascii="Arial" w:hAnsi="Arial" w:cs="Arial"/>
          <w:sz w:val="24"/>
          <w:szCs w:val="24"/>
        </w:rPr>
        <w:t xml:space="preserve">below </w:t>
      </w:r>
      <w:r w:rsidRPr="00296A1F">
        <w:rPr>
          <w:rFonts w:ascii="Arial" w:hAnsi="Arial" w:cs="Arial"/>
          <w:sz w:val="24"/>
          <w:szCs w:val="24"/>
        </w:rPr>
        <w:t xml:space="preserve">(the most commonly used ones for public authorities are listed first). </w:t>
      </w:r>
      <w:r w:rsidR="005927CC">
        <w:rPr>
          <w:rFonts w:ascii="Arial" w:hAnsi="Arial" w:cs="Arial"/>
          <w:sz w:val="24"/>
          <w:szCs w:val="24"/>
        </w:rPr>
        <w:t xml:space="preserve"> If you are processing </w:t>
      </w:r>
      <w:r w:rsidR="006849B2">
        <w:rPr>
          <w:rFonts w:ascii="Arial" w:hAnsi="Arial" w:cs="Arial"/>
          <w:sz w:val="24"/>
          <w:szCs w:val="24"/>
        </w:rPr>
        <w:t>special category data</w:t>
      </w:r>
      <w:r w:rsidR="007D72D3">
        <w:rPr>
          <w:rFonts w:ascii="Arial" w:hAnsi="Arial" w:cs="Arial"/>
          <w:sz w:val="24"/>
          <w:szCs w:val="24"/>
        </w:rPr>
        <w:t xml:space="preserve"> </w:t>
      </w:r>
      <w:r w:rsidR="007D72D3" w:rsidRPr="007D72D3">
        <w:rPr>
          <w:rFonts w:ascii="Arial" w:hAnsi="Arial" w:cs="Arial"/>
          <w:sz w:val="24"/>
          <w:szCs w:val="24"/>
          <w:highlight w:val="yellow"/>
        </w:rPr>
        <w:t>[INSERT LINK]</w:t>
      </w:r>
      <w:r w:rsidR="00705D90">
        <w:rPr>
          <w:rFonts w:ascii="Arial" w:hAnsi="Arial" w:cs="Arial"/>
          <w:sz w:val="24"/>
          <w:szCs w:val="24"/>
        </w:rPr>
        <w:t xml:space="preserve">, you </w:t>
      </w:r>
      <w:r w:rsidR="00E411E4">
        <w:rPr>
          <w:rFonts w:ascii="Arial" w:hAnsi="Arial" w:cs="Arial"/>
          <w:sz w:val="24"/>
          <w:szCs w:val="24"/>
        </w:rPr>
        <w:t xml:space="preserve">will also </w:t>
      </w:r>
      <w:r w:rsidR="00705D90">
        <w:rPr>
          <w:rFonts w:ascii="Arial" w:hAnsi="Arial" w:cs="Arial"/>
          <w:sz w:val="24"/>
          <w:szCs w:val="24"/>
        </w:rPr>
        <w:t xml:space="preserve">need to select a </w:t>
      </w:r>
      <w:r w:rsidR="00E411E4">
        <w:rPr>
          <w:rFonts w:ascii="Arial" w:hAnsi="Arial" w:cs="Arial"/>
          <w:sz w:val="24"/>
          <w:szCs w:val="24"/>
        </w:rPr>
        <w:t>‘condition’ from List B below.</w:t>
      </w:r>
    </w:p>
    <w:p w14:paraId="03F3C57D" w14:textId="77777777" w:rsidR="00140066" w:rsidRDefault="00140066" w:rsidP="00140066">
      <w:pPr>
        <w:pStyle w:val="ListParagraph"/>
        <w:spacing w:after="0" w:line="240" w:lineRule="auto"/>
        <w:rPr>
          <w:rFonts w:ascii="Arial" w:hAnsi="Arial" w:cs="Arial"/>
          <w:sz w:val="24"/>
          <w:szCs w:val="24"/>
        </w:rPr>
      </w:pPr>
    </w:p>
    <w:p w14:paraId="254DA468" w14:textId="2E288CE2" w:rsidR="00981BCB" w:rsidRPr="0070223C" w:rsidRDefault="00140066" w:rsidP="00140066">
      <w:pPr>
        <w:pStyle w:val="ListParagraph"/>
        <w:spacing w:after="0" w:line="240" w:lineRule="auto"/>
        <w:ind w:left="0"/>
        <w:rPr>
          <w:rFonts w:ascii="Arial" w:hAnsi="Arial" w:cs="Arial"/>
          <w:sz w:val="24"/>
          <w:szCs w:val="24"/>
          <w:u w:val="single"/>
        </w:rPr>
      </w:pPr>
      <w:r w:rsidRPr="0070223C">
        <w:rPr>
          <w:rFonts w:ascii="Arial" w:hAnsi="Arial" w:cs="Arial"/>
          <w:b/>
          <w:sz w:val="24"/>
          <w:szCs w:val="24"/>
          <w:u w:val="single"/>
        </w:rPr>
        <w:t>LIST A</w:t>
      </w:r>
      <w:r w:rsidR="00786DF3">
        <w:rPr>
          <w:rFonts w:ascii="Arial" w:hAnsi="Arial" w:cs="Arial"/>
          <w:b/>
          <w:sz w:val="24"/>
          <w:szCs w:val="24"/>
          <w:u w:val="single"/>
        </w:rPr>
        <w:t xml:space="preserve"> </w:t>
      </w:r>
      <w:r w:rsidR="006F222C">
        <w:rPr>
          <w:rFonts w:ascii="Arial" w:hAnsi="Arial" w:cs="Arial"/>
          <w:b/>
          <w:sz w:val="24"/>
          <w:szCs w:val="24"/>
          <w:u w:val="single"/>
        </w:rPr>
        <w:t>–</w:t>
      </w:r>
      <w:r w:rsidR="00786DF3">
        <w:rPr>
          <w:rFonts w:ascii="Arial" w:hAnsi="Arial" w:cs="Arial"/>
          <w:b/>
          <w:sz w:val="24"/>
          <w:szCs w:val="24"/>
          <w:u w:val="single"/>
        </w:rPr>
        <w:t xml:space="preserve"> L</w:t>
      </w:r>
      <w:r w:rsidR="006F222C">
        <w:rPr>
          <w:rFonts w:ascii="Arial" w:hAnsi="Arial" w:cs="Arial"/>
          <w:b/>
          <w:sz w:val="24"/>
          <w:szCs w:val="24"/>
          <w:u w:val="single"/>
        </w:rPr>
        <w:t>awful basis</w:t>
      </w:r>
    </w:p>
    <w:p w14:paraId="4772CEEC" w14:textId="77777777" w:rsidR="00140066" w:rsidRPr="00140066" w:rsidRDefault="00140066" w:rsidP="00140066">
      <w:pPr>
        <w:pStyle w:val="ListParagraph"/>
        <w:spacing w:after="0" w:line="240" w:lineRule="auto"/>
        <w:ind w:left="0"/>
        <w:rPr>
          <w:rFonts w:ascii="Arial" w:hAnsi="Arial" w:cs="Arial"/>
          <w:sz w:val="24"/>
          <w:szCs w:val="24"/>
        </w:rPr>
      </w:pPr>
    </w:p>
    <w:p w14:paraId="4492E42E" w14:textId="5599B9EE" w:rsidR="0070223C" w:rsidRPr="007D72D3" w:rsidRDefault="004A1F32" w:rsidP="004A1F32">
      <w:pPr>
        <w:spacing w:after="0" w:line="240" w:lineRule="auto"/>
        <w:rPr>
          <w:rFonts w:ascii="Arial" w:hAnsi="Arial" w:cs="Arial"/>
          <w:b/>
          <w:sz w:val="24"/>
          <w:szCs w:val="24"/>
        </w:rPr>
      </w:pPr>
      <w:r w:rsidRPr="00111F24">
        <w:rPr>
          <w:rFonts w:ascii="Arial" w:hAnsi="Arial" w:cs="Arial"/>
          <w:b/>
          <w:sz w:val="24"/>
          <w:szCs w:val="24"/>
        </w:rPr>
        <w:t>PUBLIC TASK</w:t>
      </w:r>
      <w:r w:rsidR="007D72D3" w:rsidRPr="007D72D3">
        <w:rPr>
          <w:rFonts w:ascii="Arial" w:hAnsi="Arial" w:cs="Arial"/>
          <w:sz w:val="24"/>
          <w:szCs w:val="24"/>
        </w:rPr>
        <w:t>:</w:t>
      </w:r>
      <w:r w:rsidR="007D72D3">
        <w:rPr>
          <w:rFonts w:ascii="Arial" w:hAnsi="Arial" w:cs="Arial"/>
          <w:b/>
          <w:sz w:val="24"/>
          <w:szCs w:val="24"/>
        </w:rPr>
        <w:t xml:space="preserve"> </w:t>
      </w:r>
      <w:r w:rsidR="007D72D3">
        <w:rPr>
          <w:rFonts w:ascii="Arial" w:hAnsi="Arial" w:cs="Arial"/>
          <w:color w:val="000000"/>
          <w:sz w:val="24"/>
          <w:szCs w:val="24"/>
        </w:rPr>
        <w:t>d</w:t>
      </w:r>
      <w:r w:rsidRPr="00111F24">
        <w:rPr>
          <w:rFonts w:ascii="Arial" w:hAnsi="Arial" w:cs="Arial"/>
          <w:color w:val="000000"/>
          <w:sz w:val="24"/>
          <w:szCs w:val="24"/>
        </w:rPr>
        <w:t xml:space="preserve">ata </w:t>
      </w:r>
      <w:r w:rsidR="007D72D3">
        <w:rPr>
          <w:rFonts w:ascii="Arial" w:hAnsi="Arial" w:cs="Arial"/>
          <w:color w:val="000000"/>
          <w:sz w:val="24"/>
          <w:szCs w:val="24"/>
        </w:rPr>
        <w:t>p</w:t>
      </w:r>
      <w:r w:rsidRPr="00111F24">
        <w:rPr>
          <w:rFonts w:ascii="Arial" w:hAnsi="Arial" w:cs="Arial"/>
          <w:color w:val="000000"/>
          <w:sz w:val="24"/>
          <w:szCs w:val="24"/>
        </w:rPr>
        <w:t xml:space="preserve">rotection law states that this is where “the processing is necessary for you to perform a task in the public interest or for your official functions, and the task or function has a clear basis in law.”  </w:t>
      </w:r>
    </w:p>
    <w:p w14:paraId="44EE9F9C" w14:textId="77777777" w:rsidR="0070223C" w:rsidRDefault="0070223C" w:rsidP="004A1F32">
      <w:pPr>
        <w:spacing w:after="0" w:line="240" w:lineRule="auto"/>
        <w:rPr>
          <w:rFonts w:ascii="Arial" w:hAnsi="Arial" w:cs="Arial"/>
          <w:color w:val="000000"/>
          <w:sz w:val="24"/>
          <w:szCs w:val="24"/>
        </w:rPr>
      </w:pPr>
    </w:p>
    <w:p w14:paraId="49A8EC78" w14:textId="2B883D8D" w:rsidR="004A1F32" w:rsidRDefault="004A1F32" w:rsidP="004A1F32">
      <w:pPr>
        <w:spacing w:after="0" w:line="240" w:lineRule="auto"/>
        <w:rPr>
          <w:rFonts w:ascii="Arial" w:hAnsi="Arial" w:cs="Arial"/>
          <w:color w:val="000000"/>
          <w:sz w:val="24"/>
          <w:szCs w:val="24"/>
        </w:rPr>
      </w:pPr>
      <w:r w:rsidRPr="00111F24">
        <w:rPr>
          <w:rFonts w:ascii="Arial" w:hAnsi="Arial" w:cs="Arial"/>
          <w:color w:val="000000"/>
          <w:sz w:val="24"/>
          <w:szCs w:val="24"/>
        </w:rPr>
        <w:t>This is likely to be by far the most common lawful basis for general personal data processing given that the bulk of what public authorities</w:t>
      </w:r>
      <w:r w:rsidR="0044419F">
        <w:rPr>
          <w:rFonts w:ascii="Arial" w:hAnsi="Arial" w:cs="Arial"/>
          <w:color w:val="000000"/>
          <w:sz w:val="24"/>
          <w:szCs w:val="24"/>
        </w:rPr>
        <w:t xml:space="preserve"> </w:t>
      </w:r>
      <w:r w:rsidR="00A6467F">
        <w:rPr>
          <w:rFonts w:ascii="Arial" w:hAnsi="Arial" w:cs="Arial"/>
          <w:color w:val="000000"/>
          <w:sz w:val="24"/>
          <w:szCs w:val="24"/>
        </w:rPr>
        <w:t xml:space="preserve">such as </w:t>
      </w:r>
      <w:r w:rsidRPr="00111F24">
        <w:rPr>
          <w:rFonts w:ascii="Arial" w:hAnsi="Arial" w:cs="Arial"/>
          <w:color w:val="000000"/>
          <w:sz w:val="24"/>
          <w:szCs w:val="24"/>
        </w:rPr>
        <w:t xml:space="preserve">councils </w:t>
      </w:r>
      <w:r w:rsidR="006B2CB3">
        <w:rPr>
          <w:rFonts w:ascii="Arial" w:hAnsi="Arial" w:cs="Arial"/>
          <w:color w:val="000000"/>
          <w:sz w:val="24"/>
          <w:szCs w:val="24"/>
        </w:rPr>
        <w:t xml:space="preserve">carry </w:t>
      </w:r>
      <w:r w:rsidR="0044419F">
        <w:rPr>
          <w:rFonts w:ascii="Arial" w:hAnsi="Arial" w:cs="Arial"/>
          <w:color w:val="000000"/>
          <w:sz w:val="24"/>
          <w:szCs w:val="24"/>
        </w:rPr>
        <w:t xml:space="preserve">out, </w:t>
      </w:r>
      <w:r w:rsidR="0044419F" w:rsidRPr="00111F24">
        <w:rPr>
          <w:rFonts w:ascii="Arial" w:hAnsi="Arial" w:cs="Arial"/>
          <w:color w:val="000000"/>
          <w:sz w:val="24"/>
          <w:szCs w:val="24"/>
        </w:rPr>
        <w:t>is</w:t>
      </w:r>
      <w:r w:rsidRPr="00111F24">
        <w:rPr>
          <w:rFonts w:ascii="Arial" w:hAnsi="Arial" w:cs="Arial"/>
          <w:color w:val="000000"/>
          <w:sz w:val="24"/>
          <w:szCs w:val="24"/>
        </w:rPr>
        <w:t xml:space="preserve"> covered by a </w:t>
      </w:r>
      <w:r w:rsidR="007D72D3">
        <w:rPr>
          <w:rFonts w:ascii="Arial" w:hAnsi="Arial" w:cs="Arial"/>
          <w:color w:val="000000"/>
          <w:sz w:val="24"/>
          <w:szCs w:val="24"/>
        </w:rPr>
        <w:t>combination</w:t>
      </w:r>
      <w:r w:rsidRPr="00111F24">
        <w:rPr>
          <w:rFonts w:ascii="Arial" w:hAnsi="Arial" w:cs="Arial"/>
          <w:color w:val="000000"/>
          <w:sz w:val="24"/>
          <w:szCs w:val="24"/>
        </w:rPr>
        <w:t xml:space="preserve"> of statute and common law.</w:t>
      </w:r>
    </w:p>
    <w:p w14:paraId="13B38131" w14:textId="77777777" w:rsidR="00981BCB" w:rsidRPr="00111F24" w:rsidRDefault="00981BCB" w:rsidP="004A1F32">
      <w:pPr>
        <w:spacing w:after="0" w:line="240" w:lineRule="auto"/>
        <w:rPr>
          <w:rFonts w:ascii="Arial" w:hAnsi="Arial" w:cs="Arial"/>
          <w:color w:val="000000"/>
          <w:sz w:val="24"/>
          <w:szCs w:val="24"/>
        </w:rPr>
      </w:pPr>
    </w:p>
    <w:p w14:paraId="2978993D" w14:textId="597AFCEF" w:rsidR="004A1F32" w:rsidRPr="007D72D3" w:rsidRDefault="004A1F32" w:rsidP="004A1F32">
      <w:pPr>
        <w:spacing w:after="0" w:line="240" w:lineRule="auto"/>
        <w:rPr>
          <w:rFonts w:ascii="Arial" w:hAnsi="Arial" w:cs="Arial"/>
          <w:b/>
          <w:color w:val="000000"/>
          <w:sz w:val="24"/>
          <w:szCs w:val="24"/>
        </w:rPr>
      </w:pPr>
      <w:r w:rsidRPr="007D72D3">
        <w:rPr>
          <w:rFonts w:ascii="Arial" w:hAnsi="Arial" w:cs="Arial"/>
          <w:b/>
          <w:color w:val="000000"/>
          <w:sz w:val="24"/>
          <w:szCs w:val="24"/>
        </w:rPr>
        <w:t>CONTRACT</w:t>
      </w:r>
      <w:r w:rsidR="007D72D3">
        <w:rPr>
          <w:rFonts w:ascii="Arial" w:hAnsi="Arial" w:cs="Arial"/>
          <w:color w:val="000000"/>
          <w:sz w:val="24"/>
          <w:szCs w:val="24"/>
        </w:rPr>
        <w:t>: d</w:t>
      </w:r>
      <w:r w:rsidRPr="007D72D3">
        <w:rPr>
          <w:rFonts w:ascii="Arial" w:hAnsi="Arial" w:cs="Arial"/>
          <w:color w:val="000000"/>
          <w:sz w:val="24"/>
          <w:szCs w:val="24"/>
        </w:rPr>
        <w:t>ata</w:t>
      </w:r>
      <w:r w:rsidRPr="00111F24">
        <w:rPr>
          <w:rFonts w:ascii="Arial" w:hAnsi="Arial" w:cs="Arial"/>
          <w:color w:val="000000"/>
          <w:sz w:val="24"/>
          <w:szCs w:val="24"/>
        </w:rPr>
        <w:t xml:space="preserve"> </w:t>
      </w:r>
      <w:r w:rsidR="007D72D3">
        <w:rPr>
          <w:rFonts w:ascii="Arial" w:hAnsi="Arial" w:cs="Arial"/>
          <w:color w:val="000000"/>
          <w:sz w:val="24"/>
          <w:szCs w:val="24"/>
        </w:rPr>
        <w:t>p</w:t>
      </w:r>
      <w:r w:rsidRPr="00111F24">
        <w:rPr>
          <w:rFonts w:ascii="Arial" w:hAnsi="Arial" w:cs="Arial"/>
          <w:color w:val="000000"/>
          <w:sz w:val="24"/>
          <w:szCs w:val="24"/>
        </w:rPr>
        <w:t>rotection law states that this is where “processing is necessary for the performance of a contract to which the data subject is party or in order to take steps at the request of the data subject prior to entering into a contract.”</w:t>
      </w:r>
    </w:p>
    <w:p w14:paraId="00FBAC18" w14:textId="77777777" w:rsidR="0070223C" w:rsidRPr="00111F24" w:rsidRDefault="0070223C" w:rsidP="004A1F32">
      <w:pPr>
        <w:spacing w:after="0" w:line="240" w:lineRule="auto"/>
        <w:rPr>
          <w:rFonts w:ascii="Arial" w:hAnsi="Arial" w:cs="Arial"/>
          <w:color w:val="000000"/>
          <w:sz w:val="24"/>
          <w:szCs w:val="24"/>
        </w:rPr>
      </w:pPr>
    </w:p>
    <w:p w14:paraId="5F57198A" w14:textId="77777777" w:rsidR="000549CE" w:rsidRDefault="004A1F32" w:rsidP="004A1F32">
      <w:pPr>
        <w:spacing w:after="0" w:line="240" w:lineRule="auto"/>
        <w:rPr>
          <w:rFonts w:ascii="Arial" w:hAnsi="Arial" w:cs="Arial"/>
          <w:sz w:val="24"/>
          <w:szCs w:val="24"/>
        </w:rPr>
      </w:pPr>
      <w:r w:rsidRPr="00111F24">
        <w:rPr>
          <w:rFonts w:ascii="Arial" w:hAnsi="Arial" w:cs="Arial"/>
          <w:sz w:val="24"/>
          <w:szCs w:val="24"/>
        </w:rPr>
        <w:t xml:space="preserve">This should not be confused with simply having a contract in place with suppliers. Specifically, this is where the organisation has agreed to do something paid or unpaid for a customer/client/patient (which may or may not have a formal written contract) and in order to do this certain personal data needs to be obtained and processed. If for example, a council offers a ‘brown bin service’ there is certain minimum personal data which needs to be obtained for this service to be delivered such as name, address, financial details (where payment is required). </w:t>
      </w:r>
    </w:p>
    <w:p w14:paraId="4194FEDE" w14:textId="77777777" w:rsidR="000549CE" w:rsidRDefault="000549CE" w:rsidP="004A1F32">
      <w:pPr>
        <w:spacing w:after="0" w:line="240" w:lineRule="auto"/>
        <w:rPr>
          <w:rFonts w:ascii="Arial" w:hAnsi="Arial" w:cs="Arial"/>
          <w:sz w:val="24"/>
          <w:szCs w:val="24"/>
        </w:rPr>
      </w:pPr>
    </w:p>
    <w:p w14:paraId="129B819E" w14:textId="2B7BA5D1" w:rsidR="004A1F32" w:rsidRDefault="004A1F32" w:rsidP="004A1F32">
      <w:pPr>
        <w:spacing w:after="0" w:line="240" w:lineRule="auto"/>
        <w:rPr>
          <w:rFonts w:ascii="Arial" w:hAnsi="Arial" w:cs="Arial"/>
          <w:sz w:val="24"/>
          <w:szCs w:val="24"/>
        </w:rPr>
      </w:pPr>
      <w:r w:rsidRPr="00111F24">
        <w:rPr>
          <w:rFonts w:ascii="Arial" w:hAnsi="Arial" w:cs="Arial"/>
          <w:sz w:val="24"/>
          <w:szCs w:val="24"/>
        </w:rPr>
        <w:t>You cannot simply avail of the service and opt out of providing such data that is necessary to perform the ‘contract’. At all times you still need to consider proportionality, so in the ‘brown bin’ example it is unlikely that collecting data on income brackets, gardening interests and ethnicity is required to discharge the contract. This additional data could however be obtained using another lawful basis such as consent.</w:t>
      </w:r>
    </w:p>
    <w:p w14:paraId="450AAC19" w14:textId="77777777" w:rsidR="0070223C" w:rsidRPr="00111F24" w:rsidRDefault="0070223C" w:rsidP="004A1F32">
      <w:pPr>
        <w:spacing w:after="0" w:line="240" w:lineRule="auto"/>
        <w:rPr>
          <w:rFonts w:ascii="Arial" w:hAnsi="Arial" w:cs="Arial"/>
          <w:sz w:val="24"/>
          <w:szCs w:val="24"/>
        </w:rPr>
      </w:pPr>
    </w:p>
    <w:p w14:paraId="0AB2013E" w14:textId="0304B26F" w:rsidR="004A1F32" w:rsidRPr="007D72D3" w:rsidRDefault="004A1F32" w:rsidP="004A1F32">
      <w:pPr>
        <w:spacing w:after="0" w:line="240" w:lineRule="auto"/>
        <w:rPr>
          <w:rFonts w:ascii="Arial" w:hAnsi="Arial" w:cs="Arial"/>
          <w:b/>
          <w:sz w:val="24"/>
          <w:szCs w:val="24"/>
        </w:rPr>
      </w:pPr>
      <w:r w:rsidRPr="007D72D3">
        <w:rPr>
          <w:rFonts w:ascii="Arial" w:hAnsi="Arial" w:cs="Arial"/>
          <w:b/>
          <w:sz w:val="24"/>
          <w:szCs w:val="24"/>
        </w:rPr>
        <w:t>CONSENT</w:t>
      </w:r>
      <w:r w:rsidR="007D72D3">
        <w:rPr>
          <w:rFonts w:ascii="Arial" w:hAnsi="Arial" w:cs="Arial"/>
          <w:sz w:val="24"/>
          <w:szCs w:val="24"/>
        </w:rPr>
        <w:t>: c</w:t>
      </w:r>
      <w:r w:rsidRPr="007D72D3">
        <w:rPr>
          <w:rFonts w:ascii="Arial" w:hAnsi="Arial" w:cs="Arial"/>
          <w:sz w:val="24"/>
          <w:szCs w:val="24"/>
        </w:rPr>
        <w:t>onsent</w:t>
      </w:r>
      <w:r w:rsidRPr="00111F24">
        <w:rPr>
          <w:rFonts w:ascii="Arial" w:hAnsi="Arial" w:cs="Arial"/>
          <w:sz w:val="24"/>
          <w:szCs w:val="24"/>
        </w:rPr>
        <w:t xml:space="preserve"> is where you ask the data subject to make an affirmative decision that they agree to have their personal data </w:t>
      </w:r>
      <w:r w:rsidR="007D72D3">
        <w:rPr>
          <w:rFonts w:ascii="Arial" w:hAnsi="Arial" w:cs="Arial"/>
          <w:sz w:val="24"/>
          <w:szCs w:val="24"/>
        </w:rPr>
        <w:t xml:space="preserve">collected and used </w:t>
      </w:r>
      <w:r w:rsidRPr="00111F24">
        <w:rPr>
          <w:rFonts w:ascii="Arial" w:hAnsi="Arial" w:cs="Arial"/>
          <w:sz w:val="24"/>
          <w:szCs w:val="24"/>
        </w:rPr>
        <w:t>for a purpose. This could be for a relatively niche service area which is not covered by either public task or contract.</w:t>
      </w:r>
      <w:r w:rsidR="007D72D3">
        <w:rPr>
          <w:rFonts w:ascii="Arial" w:hAnsi="Arial" w:cs="Arial"/>
          <w:sz w:val="24"/>
          <w:szCs w:val="24"/>
        </w:rPr>
        <w:t xml:space="preserve"> </w:t>
      </w:r>
      <w:r w:rsidRPr="00111F24">
        <w:rPr>
          <w:rFonts w:ascii="Arial" w:hAnsi="Arial" w:cs="Arial"/>
          <w:sz w:val="24"/>
          <w:szCs w:val="24"/>
        </w:rPr>
        <w:t xml:space="preserve"> In a local public body context, it could be used in areas where you wish to offer an individual real choice and control. </w:t>
      </w:r>
      <w:r w:rsidR="00460F4F">
        <w:rPr>
          <w:rFonts w:ascii="Arial" w:hAnsi="Arial" w:cs="Arial"/>
          <w:sz w:val="24"/>
          <w:szCs w:val="24"/>
        </w:rPr>
        <w:t>I</w:t>
      </w:r>
      <w:r w:rsidRPr="00111F24">
        <w:rPr>
          <w:rFonts w:ascii="Arial" w:hAnsi="Arial" w:cs="Arial"/>
          <w:sz w:val="24"/>
          <w:szCs w:val="24"/>
        </w:rPr>
        <w:t xml:space="preserve">f a person changes their mind (withdraws consent) you need to be able to action this without delay. </w:t>
      </w:r>
    </w:p>
    <w:p w14:paraId="54A1CC64" w14:textId="77777777" w:rsidR="000549CE" w:rsidRPr="00111F24" w:rsidRDefault="000549CE" w:rsidP="004A1F32">
      <w:pPr>
        <w:spacing w:after="0" w:line="240" w:lineRule="auto"/>
        <w:rPr>
          <w:rFonts w:ascii="Arial" w:hAnsi="Arial" w:cs="Arial"/>
          <w:sz w:val="24"/>
          <w:szCs w:val="24"/>
        </w:rPr>
      </w:pPr>
    </w:p>
    <w:p w14:paraId="69E66BA2" w14:textId="1A48EC9E" w:rsidR="004A1F32" w:rsidRDefault="004A1F32" w:rsidP="004A1F32">
      <w:pPr>
        <w:spacing w:after="0" w:line="240" w:lineRule="auto"/>
        <w:rPr>
          <w:rFonts w:ascii="Arial" w:hAnsi="Arial" w:cs="Arial"/>
          <w:sz w:val="24"/>
          <w:szCs w:val="24"/>
        </w:rPr>
      </w:pPr>
      <w:r w:rsidRPr="00111F24">
        <w:rPr>
          <w:rFonts w:ascii="Arial" w:hAnsi="Arial" w:cs="Arial"/>
          <w:sz w:val="24"/>
          <w:szCs w:val="24"/>
        </w:rPr>
        <w:t xml:space="preserve">Consent decisions can also be used where you </w:t>
      </w:r>
      <w:r w:rsidR="00460F4F">
        <w:rPr>
          <w:rFonts w:ascii="Arial" w:hAnsi="Arial" w:cs="Arial"/>
          <w:sz w:val="24"/>
          <w:szCs w:val="24"/>
        </w:rPr>
        <w:t>wish</w:t>
      </w:r>
      <w:r w:rsidR="00460F4F" w:rsidRPr="00111F24">
        <w:rPr>
          <w:rFonts w:ascii="Arial" w:hAnsi="Arial" w:cs="Arial"/>
          <w:sz w:val="24"/>
          <w:szCs w:val="24"/>
        </w:rPr>
        <w:t xml:space="preserve"> </w:t>
      </w:r>
      <w:r w:rsidRPr="00111F24">
        <w:rPr>
          <w:rFonts w:ascii="Arial" w:hAnsi="Arial" w:cs="Arial"/>
          <w:sz w:val="24"/>
          <w:szCs w:val="24"/>
        </w:rPr>
        <w:t xml:space="preserve">to share data with a third party (i.e. to an organisation </w:t>
      </w:r>
      <w:proofErr w:type="gramStart"/>
      <w:r w:rsidRPr="00111F24">
        <w:rPr>
          <w:rFonts w:ascii="Arial" w:hAnsi="Arial" w:cs="Arial"/>
          <w:sz w:val="24"/>
          <w:szCs w:val="24"/>
        </w:rPr>
        <w:t>completely separate</w:t>
      </w:r>
      <w:proofErr w:type="gramEnd"/>
      <w:r w:rsidRPr="00111F24">
        <w:rPr>
          <w:rFonts w:ascii="Arial" w:hAnsi="Arial" w:cs="Arial"/>
          <w:sz w:val="24"/>
          <w:szCs w:val="24"/>
        </w:rPr>
        <w:t xml:space="preserve"> from the data controller and its own processors). </w:t>
      </w:r>
      <w:r w:rsidR="00031AE9">
        <w:rPr>
          <w:rFonts w:ascii="Arial" w:hAnsi="Arial" w:cs="Arial"/>
          <w:sz w:val="24"/>
          <w:szCs w:val="24"/>
        </w:rPr>
        <w:t xml:space="preserve"> </w:t>
      </w:r>
      <w:r w:rsidR="00DA556C">
        <w:rPr>
          <w:rFonts w:ascii="Arial" w:hAnsi="Arial" w:cs="Arial"/>
          <w:sz w:val="24"/>
          <w:szCs w:val="24"/>
        </w:rPr>
        <w:t>For example, i</w:t>
      </w:r>
      <w:r w:rsidRPr="00111F24">
        <w:rPr>
          <w:rFonts w:ascii="Arial" w:hAnsi="Arial" w:cs="Arial"/>
          <w:sz w:val="24"/>
          <w:szCs w:val="24"/>
        </w:rPr>
        <w:t xml:space="preserve">f a customer is enrolled on </w:t>
      </w:r>
      <w:r w:rsidR="00031AE9">
        <w:rPr>
          <w:rFonts w:ascii="Arial" w:hAnsi="Arial" w:cs="Arial"/>
          <w:sz w:val="24"/>
          <w:szCs w:val="24"/>
        </w:rPr>
        <w:t>a keep fit</w:t>
      </w:r>
      <w:r w:rsidRPr="00111F24">
        <w:rPr>
          <w:rFonts w:ascii="Arial" w:hAnsi="Arial" w:cs="Arial"/>
          <w:sz w:val="24"/>
          <w:szCs w:val="24"/>
        </w:rPr>
        <w:t xml:space="preserve"> course</w:t>
      </w:r>
      <w:r w:rsidR="00031AE9">
        <w:rPr>
          <w:rFonts w:ascii="Arial" w:hAnsi="Arial" w:cs="Arial"/>
          <w:sz w:val="24"/>
          <w:szCs w:val="24"/>
        </w:rPr>
        <w:t xml:space="preserve"> to help prevent/manage medical conditions</w:t>
      </w:r>
      <w:r w:rsidRPr="00111F24">
        <w:rPr>
          <w:rFonts w:ascii="Arial" w:hAnsi="Arial" w:cs="Arial"/>
          <w:sz w:val="24"/>
          <w:szCs w:val="24"/>
        </w:rPr>
        <w:t xml:space="preserve">, those designing it may give the customers </w:t>
      </w:r>
      <w:r w:rsidR="00460F4F">
        <w:rPr>
          <w:rFonts w:ascii="Arial" w:hAnsi="Arial" w:cs="Arial"/>
          <w:sz w:val="24"/>
          <w:szCs w:val="24"/>
        </w:rPr>
        <w:t xml:space="preserve">a </w:t>
      </w:r>
      <w:r w:rsidRPr="00111F24">
        <w:rPr>
          <w:rFonts w:ascii="Arial" w:hAnsi="Arial" w:cs="Arial"/>
          <w:sz w:val="24"/>
          <w:szCs w:val="24"/>
        </w:rPr>
        <w:t>choice as to wh</w:t>
      </w:r>
      <w:bookmarkStart w:id="0" w:name="_GoBack"/>
      <w:bookmarkEnd w:id="0"/>
      <w:r w:rsidRPr="00111F24">
        <w:rPr>
          <w:rFonts w:ascii="Arial" w:hAnsi="Arial" w:cs="Arial"/>
          <w:sz w:val="24"/>
          <w:szCs w:val="24"/>
        </w:rPr>
        <w:t>ether they wish the</w:t>
      </w:r>
      <w:r w:rsidR="00031AE9">
        <w:rPr>
          <w:rFonts w:ascii="Arial" w:hAnsi="Arial" w:cs="Arial"/>
          <w:sz w:val="24"/>
          <w:szCs w:val="24"/>
        </w:rPr>
        <w:t>ir</w:t>
      </w:r>
      <w:r w:rsidRPr="00111F24">
        <w:rPr>
          <w:rFonts w:ascii="Arial" w:hAnsi="Arial" w:cs="Arial"/>
          <w:sz w:val="24"/>
          <w:szCs w:val="24"/>
        </w:rPr>
        <w:t xml:space="preserve"> personal data collected to be shared with </w:t>
      </w:r>
      <w:r w:rsidR="00031AE9">
        <w:rPr>
          <w:rFonts w:ascii="Arial" w:hAnsi="Arial" w:cs="Arial"/>
          <w:sz w:val="24"/>
          <w:szCs w:val="24"/>
        </w:rPr>
        <w:t>other</w:t>
      </w:r>
      <w:r w:rsidRPr="00111F24">
        <w:rPr>
          <w:rFonts w:ascii="Arial" w:hAnsi="Arial" w:cs="Arial"/>
          <w:sz w:val="24"/>
          <w:szCs w:val="24"/>
        </w:rPr>
        <w:t xml:space="preserve"> </w:t>
      </w:r>
      <w:r w:rsidRPr="00111F24">
        <w:rPr>
          <w:rFonts w:ascii="Arial" w:hAnsi="Arial" w:cs="Arial"/>
          <w:sz w:val="24"/>
          <w:szCs w:val="24"/>
        </w:rPr>
        <w:lastRenderedPageBreak/>
        <w:t>organisations in the area</w:t>
      </w:r>
      <w:r w:rsidR="00031AE9">
        <w:rPr>
          <w:rFonts w:ascii="Arial" w:hAnsi="Arial" w:cs="Arial"/>
          <w:sz w:val="24"/>
          <w:szCs w:val="24"/>
        </w:rPr>
        <w:t xml:space="preserve"> offering other services in relation to the medical conditions</w:t>
      </w:r>
      <w:r w:rsidRPr="00111F24">
        <w:rPr>
          <w:rFonts w:ascii="Arial" w:hAnsi="Arial" w:cs="Arial"/>
          <w:sz w:val="24"/>
          <w:szCs w:val="24"/>
        </w:rPr>
        <w:t>. Such a choice needs to be</w:t>
      </w:r>
      <w:r w:rsidR="00031AE9">
        <w:rPr>
          <w:rFonts w:ascii="Arial" w:hAnsi="Arial" w:cs="Arial"/>
          <w:sz w:val="24"/>
          <w:szCs w:val="24"/>
        </w:rPr>
        <w:t xml:space="preserve"> communicated</w:t>
      </w:r>
      <w:r w:rsidRPr="00111F24">
        <w:rPr>
          <w:rFonts w:ascii="Arial" w:hAnsi="Arial" w:cs="Arial"/>
          <w:sz w:val="24"/>
          <w:szCs w:val="24"/>
        </w:rPr>
        <w:t xml:space="preserve"> in plain language and</w:t>
      </w:r>
      <w:r w:rsidR="00031AE9">
        <w:rPr>
          <w:rFonts w:ascii="Arial" w:hAnsi="Arial" w:cs="Arial"/>
          <w:sz w:val="24"/>
          <w:szCs w:val="24"/>
        </w:rPr>
        <w:t xml:space="preserve"> must only allow the individual to</w:t>
      </w:r>
      <w:r w:rsidRPr="00111F24">
        <w:rPr>
          <w:rFonts w:ascii="Arial" w:hAnsi="Arial" w:cs="Arial"/>
          <w:sz w:val="24"/>
          <w:szCs w:val="24"/>
        </w:rPr>
        <w:t xml:space="preserve"> ‘opt-in’.  </w:t>
      </w:r>
    </w:p>
    <w:p w14:paraId="2F73FA7C" w14:textId="77777777" w:rsidR="000549CE" w:rsidRPr="00111F24" w:rsidRDefault="000549CE" w:rsidP="004A1F32">
      <w:pPr>
        <w:spacing w:after="0" w:line="240" w:lineRule="auto"/>
        <w:rPr>
          <w:rFonts w:ascii="Arial" w:hAnsi="Arial" w:cs="Arial"/>
          <w:sz w:val="24"/>
          <w:szCs w:val="24"/>
        </w:rPr>
      </w:pPr>
    </w:p>
    <w:p w14:paraId="12F0D39B" w14:textId="69A86EB7" w:rsidR="004A1F32" w:rsidRPr="00031AE9" w:rsidRDefault="004A1F32" w:rsidP="004A1F32">
      <w:pPr>
        <w:spacing w:after="0" w:line="240" w:lineRule="auto"/>
        <w:rPr>
          <w:rFonts w:ascii="Arial" w:hAnsi="Arial" w:cs="Arial"/>
          <w:b/>
          <w:sz w:val="24"/>
          <w:szCs w:val="24"/>
        </w:rPr>
      </w:pPr>
      <w:r w:rsidRPr="00111F24">
        <w:rPr>
          <w:rFonts w:ascii="Arial" w:hAnsi="Arial" w:cs="Arial"/>
          <w:b/>
          <w:sz w:val="24"/>
          <w:szCs w:val="24"/>
        </w:rPr>
        <w:t>LEGAL</w:t>
      </w:r>
      <w:r w:rsidR="00031AE9">
        <w:rPr>
          <w:rFonts w:ascii="Arial" w:hAnsi="Arial" w:cs="Arial"/>
          <w:b/>
          <w:sz w:val="24"/>
          <w:szCs w:val="24"/>
        </w:rPr>
        <w:t xml:space="preserve"> </w:t>
      </w:r>
      <w:r w:rsidRPr="00031AE9">
        <w:rPr>
          <w:rFonts w:ascii="Arial" w:hAnsi="Arial" w:cs="Arial"/>
          <w:b/>
          <w:sz w:val="24"/>
          <w:szCs w:val="24"/>
        </w:rPr>
        <w:t>OBLIGATION</w:t>
      </w:r>
      <w:r w:rsidR="00031AE9">
        <w:rPr>
          <w:rFonts w:ascii="Arial" w:hAnsi="Arial" w:cs="Arial"/>
          <w:sz w:val="24"/>
          <w:szCs w:val="24"/>
        </w:rPr>
        <w:t>: d</w:t>
      </w:r>
      <w:r w:rsidRPr="00031AE9">
        <w:rPr>
          <w:rFonts w:ascii="Arial" w:hAnsi="Arial" w:cs="Arial"/>
          <w:sz w:val="24"/>
          <w:szCs w:val="24"/>
        </w:rPr>
        <w:t>ata</w:t>
      </w:r>
      <w:r w:rsidRPr="00111F24">
        <w:rPr>
          <w:rFonts w:ascii="Arial" w:hAnsi="Arial" w:cs="Arial"/>
          <w:sz w:val="24"/>
          <w:szCs w:val="24"/>
        </w:rPr>
        <w:t xml:space="preserve"> </w:t>
      </w:r>
      <w:r w:rsidR="00031AE9">
        <w:rPr>
          <w:rFonts w:ascii="Arial" w:hAnsi="Arial" w:cs="Arial"/>
          <w:sz w:val="24"/>
          <w:szCs w:val="24"/>
        </w:rPr>
        <w:t>p</w:t>
      </w:r>
      <w:r w:rsidRPr="00111F24">
        <w:rPr>
          <w:rFonts w:ascii="Arial" w:hAnsi="Arial" w:cs="Arial"/>
          <w:sz w:val="24"/>
          <w:szCs w:val="24"/>
        </w:rPr>
        <w:t xml:space="preserve">rotection law states that this should be used where </w:t>
      </w:r>
      <w:r w:rsidRPr="00111F24">
        <w:rPr>
          <w:rFonts w:ascii="Arial" w:hAnsi="Arial" w:cs="Arial"/>
          <w:color w:val="000000"/>
          <w:sz w:val="24"/>
          <w:szCs w:val="24"/>
        </w:rPr>
        <w:t xml:space="preserve">“processing is necessary for compliance with a legal obligation to which the controller is subject.” This differs from public task in that you need to be far more specific and cite a specific legal provision. For example, council x needs to process and share personal data with a Crown Court in order to comply with a court order. Or council </w:t>
      </w:r>
      <w:r w:rsidR="00DB6A94">
        <w:rPr>
          <w:rFonts w:ascii="Arial" w:hAnsi="Arial" w:cs="Arial"/>
          <w:color w:val="000000"/>
          <w:sz w:val="24"/>
          <w:szCs w:val="24"/>
        </w:rPr>
        <w:t>y</w:t>
      </w:r>
      <w:r w:rsidR="00DB6A94" w:rsidRPr="00111F24">
        <w:rPr>
          <w:rFonts w:ascii="Arial" w:hAnsi="Arial" w:cs="Arial"/>
          <w:color w:val="000000"/>
          <w:sz w:val="24"/>
          <w:szCs w:val="24"/>
        </w:rPr>
        <w:t xml:space="preserve"> </w:t>
      </w:r>
      <w:r w:rsidRPr="00111F24">
        <w:rPr>
          <w:rFonts w:ascii="Arial" w:hAnsi="Arial" w:cs="Arial"/>
          <w:color w:val="000000"/>
          <w:sz w:val="24"/>
          <w:szCs w:val="24"/>
        </w:rPr>
        <w:t>needs to process and share certain personal data on children and parents in order to fulfil Department of Education requirements (e.g. relevant section of Education Act 2005 etc.).</w:t>
      </w:r>
      <w:r w:rsidRPr="00111F24">
        <w:rPr>
          <w:rStyle w:val="FootnoteReference"/>
          <w:rFonts w:ascii="Arial" w:hAnsi="Arial" w:cs="Arial"/>
          <w:color w:val="000000"/>
          <w:sz w:val="24"/>
          <w:szCs w:val="24"/>
        </w:rPr>
        <w:footnoteReference w:id="4"/>
      </w:r>
    </w:p>
    <w:p w14:paraId="696F542A" w14:textId="77777777" w:rsidR="00B34C8D" w:rsidRDefault="00B34C8D" w:rsidP="004A1F32">
      <w:pPr>
        <w:spacing w:after="0" w:line="240" w:lineRule="auto"/>
        <w:rPr>
          <w:rFonts w:ascii="Arial" w:hAnsi="Arial" w:cs="Arial"/>
          <w:color w:val="000000"/>
          <w:sz w:val="24"/>
          <w:szCs w:val="24"/>
        </w:rPr>
      </w:pPr>
    </w:p>
    <w:p w14:paraId="546FACE2" w14:textId="347E2D39" w:rsidR="00E411E4" w:rsidRDefault="002E29E8" w:rsidP="004A1F32">
      <w:pPr>
        <w:spacing w:after="0" w:line="240" w:lineRule="auto"/>
        <w:rPr>
          <w:rFonts w:ascii="Arial" w:hAnsi="Arial" w:cs="Arial"/>
          <w:color w:val="000000"/>
          <w:sz w:val="24"/>
          <w:szCs w:val="24"/>
        </w:rPr>
      </w:pPr>
      <w:r w:rsidRPr="002E29E8">
        <w:rPr>
          <w:rFonts w:ascii="Arial" w:hAnsi="Arial" w:cs="Arial"/>
          <w:b/>
          <w:color w:val="000000"/>
          <w:sz w:val="24"/>
          <w:szCs w:val="24"/>
          <w:u w:val="single"/>
        </w:rPr>
        <w:t>LIST B</w:t>
      </w:r>
      <w:r w:rsidR="00B34D40">
        <w:rPr>
          <w:rFonts w:ascii="Arial" w:hAnsi="Arial" w:cs="Arial"/>
          <w:b/>
          <w:color w:val="000000"/>
          <w:sz w:val="24"/>
          <w:szCs w:val="24"/>
          <w:u w:val="single"/>
        </w:rPr>
        <w:t xml:space="preserve"> – Special category data</w:t>
      </w:r>
    </w:p>
    <w:p w14:paraId="6799A378" w14:textId="77777777" w:rsidR="00B34D40" w:rsidRPr="00B34D40" w:rsidRDefault="00B34D40" w:rsidP="004A1F32">
      <w:pPr>
        <w:spacing w:after="0" w:line="240" w:lineRule="auto"/>
        <w:rPr>
          <w:rFonts w:ascii="Arial" w:hAnsi="Arial" w:cs="Arial"/>
          <w:color w:val="000000"/>
          <w:sz w:val="24"/>
          <w:szCs w:val="24"/>
        </w:rPr>
      </w:pPr>
    </w:p>
    <w:p w14:paraId="3520393C" w14:textId="1C862E9E" w:rsidR="004A1F32" w:rsidRDefault="004A1F32" w:rsidP="004A1F32">
      <w:pPr>
        <w:spacing w:after="0" w:line="240" w:lineRule="auto"/>
        <w:rPr>
          <w:rFonts w:ascii="Arial" w:hAnsi="Arial" w:cs="Arial"/>
          <w:sz w:val="24"/>
          <w:szCs w:val="24"/>
        </w:rPr>
      </w:pPr>
      <w:r w:rsidRPr="00111F24">
        <w:rPr>
          <w:rFonts w:ascii="Arial" w:hAnsi="Arial" w:cs="Arial"/>
          <w:sz w:val="24"/>
          <w:szCs w:val="24"/>
        </w:rPr>
        <w:t>If any of the personal data within scope of the project/service is deemed to be</w:t>
      </w:r>
      <w:r w:rsidR="00CA0245">
        <w:rPr>
          <w:rFonts w:ascii="Arial" w:hAnsi="Arial" w:cs="Arial"/>
          <w:sz w:val="24"/>
          <w:szCs w:val="24"/>
        </w:rPr>
        <w:t xml:space="preserve"> </w:t>
      </w:r>
      <w:r w:rsidRPr="00111F24">
        <w:rPr>
          <w:rFonts w:ascii="Arial" w:hAnsi="Arial" w:cs="Arial"/>
          <w:sz w:val="24"/>
          <w:szCs w:val="24"/>
        </w:rPr>
        <w:t>‘special category’ data (that is</w:t>
      </w:r>
      <w:r w:rsidRPr="00111F24">
        <w:rPr>
          <w:rFonts w:ascii="Arial" w:hAnsi="Arial" w:cs="Arial"/>
          <w:b/>
          <w:sz w:val="24"/>
          <w:szCs w:val="24"/>
        </w:rPr>
        <w:t xml:space="preserve"> Race, Ethnic Origin, Political </w:t>
      </w:r>
      <w:r w:rsidR="00E93F48">
        <w:rPr>
          <w:rFonts w:ascii="Arial" w:hAnsi="Arial" w:cs="Arial"/>
          <w:b/>
          <w:sz w:val="24"/>
          <w:szCs w:val="24"/>
        </w:rPr>
        <w:t>V</w:t>
      </w:r>
      <w:r w:rsidR="00E93F48" w:rsidRPr="00111F24">
        <w:rPr>
          <w:rFonts w:ascii="Arial" w:hAnsi="Arial" w:cs="Arial"/>
          <w:b/>
          <w:sz w:val="24"/>
          <w:szCs w:val="24"/>
        </w:rPr>
        <w:t>iews</w:t>
      </w:r>
      <w:r w:rsidRPr="00111F24">
        <w:rPr>
          <w:rFonts w:ascii="Arial" w:hAnsi="Arial" w:cs="Arial"/>
          <w:b/>
          <w:sz w:val="24"/>
          <w:szCs w:val="24"/>
        </w:rPr>
        <w:t>, Religion,</w:t>
      </w:r>
      <w:r w:rsidR="00CA0245">
        <w:rPr>
          <w:rFonts w:ascii="Arial" w:hAnsi="Arial" w:cs="Arial"/>
          <w:b/>
          <w:sz w:val="24"/>
          <w:szCs w:val="24"/>
        </w:rPr>
        <w:t xml:space="preserve"> </w:t>
      </w:r>
      <w:r w:rsidRPr="00111F24">
        <w:rPr>
          <w:rFonts w:ascii="Arial" w:hAnsi="Arial" w:cs="Arial"/>
          <w:b/>
          <w:sz w:val="24"/>
          <w:szCs w:val="24"/>
        </w:rPr>
        <w:t xml:space="preserve">Trade Union Membership, Genetics, Biometrics (where used for ID purposes), Health (physical and mental) and Sex </w:t>
      </w:r>
      <w:r w:rsidR="00B0689C">
        <w:rPr>
          <w:rFonts w:ascii="Arial" w:hAnsi="Arial" w:cs="Arial"/>
          <w:b/>
          <w:sz w:val="24"/>
          <w:szCs w:val="24"/>
        </w:rPr>
        <w:t>L</w:t>
      </w:r>
      <w:r w:rsidR="00B0689C" w:rsidRPr="00111F24">
        <w:rPr>
          <w:rFonts w:ascii="Arial" w:hAnsi="Arial" w:cs="Arial"/>
          <w:b/>
          <w:sz w:val="24"/>
          <w:szCs w:val="24"/>
        </w:rPr>
        <w:t xml:space="preserve">ife </w:t>
      </w:r>
      <w:r w:rsidRPr="00111F24">
        <w:rPr>
          <w:rFonts w:ascii="Arial" w:hAnsi="Arial" w:cs="Arial"/>
          <w:b/>
          <w:sz w:val="24"/>
          <w:szCs w:val="24"/>
        </w:rPr>
        <w:t xml:space="preserve">or </w:t>
      </w:r>
      <w:r w:rsidR="00E93F48">
        <w:rPr>
          <w:rFonts w:ascii="Arial" w:hAnsi="Arial" w:cs="Arial"/>
          <w:b/>
          <w:sz w:val="24"/>
          <w:szCs w:val="24"/>
        </w:rPr>
        <w:t>S</w:t>
      </w:r>
      <w:r w:rsidR="00E93F48" w:rsidRPr="00111F24">
        <w:rPr>
          <w:rFonts w:ascii="Arial" w:hAnsi="Arial" w:cs="Arial"/>
          <w:b/>
          <w:sz w:val="24"/>
          <w:szCs w:val="24"/>
        </w:rPr>
        <w:t xml:space="preserve">exual </w:t>
      </w:r>
      <w:r w:rsidR="00E93F48">
        <w:rPr>
          <w:rFonts w:ascii="Arial" w:hAnsi="Arial" w:cs="Arial"/>
          <w:b/>
          <w:sz w:val="24"/>
          <w:szCs w:val="24"/>
        </w:rPr>
        <w:t>O</w:t>
      </w:r>
      <w:r w:rsidR="00E93F48" w:rsidRPr="00111F24">
        <w:rPr>
          <w:rFonts w:ascii="Arial" w:hAnsi="Arial" w:cs="Arial"/>
          <w:b/>
          <w:sz w:val="24"/>
          <w:szCs w:val="24"/>
        </w:rPr>
        <w:t>rientation</w:t>
      </w:r>
      <w:r w:rsidR="00E93F48" w:rsidRPr="00111F24">
        <w:rPr>
          <w:rFonts w:ascii="Arial" w:hAnsi="Arial" w:cs="Arial"/>
          <w:sz w:val="24"/>
          <w:szCs w:val="24"/>
        </w:rPr>
        <w:t xml:space="preserve"> </w:t>
      </w:r>
      <w:r w:rsidRPr="00111F24">
        <w:rPr>
          <w:rFonts w:ascii="Arial" w:hAnsi="Arial" w:cs="Arial"/>
          <w:sz w:val="24"/>
          <w:szCs w:val="24"/>
        </w:rPr>
        <w:t xml:space="preserve">then you need to satisfy an </w:t>
      </w:r>
      <w:r w:rsidRPr="00111F24">
        <w:rPr>
          <w:rFonts w:ascii="Arial" w:hAnsi="Arial" w:cs="Arial"/>
          <w:b/>
          <w:sz w:val="24"/>
          <w:szCs w:val="24"/>
          <w:u w:val="single"/>
        </w:rPr>
        <w:t xml:space="preserve">ADDITIONAL </w:t>
      </w:r>
      <w:r w:rsidRPr="00111F24">
        <w:rPr>
          <w:rFonts w:ascii="Arial" w:hAnsi="Arial" w:cs="Arial"/>
          <w:sz w:val="24"/>
          <w:szCs w:val="24"/>
        </w:rPr>
        <w:t>condition.</w:t>
      </w:r>
    </w:p>
    <w:p w14:paraId="2C6A410E" w14:textId="034E6FB6" w:rsidR="00CA0245" w:rsidRDefault="00CA0245" w:rsidP="004A1F32">
      <w:pPr>
        <w:spacing w:after="0" w:line="240" w:lineRule="auto"/>
        <w:rPr>
          <w:rFonts w:ascii="Arial" w:hAnsi="Arial" w:cs="Arial"/>
          <w:sz w:val="24"/>
          <w:szCs w:val="24"/>
        </w:rPr>
      </w:pPr>
    </w:p>
    <w:p w14:paraId="30408D89" w14:textId="3752A9F9" w:rsidR="004A1F32" w:rsidRDefault="004A1F32" w:rsidP="004A1F32">
      <w:pPr>
        <w:spacing w:after="0" w:line="240" w:lineRule="auto"/>
        <w:rPr>
          <w:rFonts w:ascii="Arial" w:hAnsi="Arial" w:cs="Arial"/>
          <w:sz w:val="24"/>
          <w:szCs w:val="24"/>
        </w:rPr>
      </w:pPr>
      <w:r w:rsidRPr="00111F24">
        <w:rPr>
          <w:rFonts w:ascii="Arial" w:hAnsi="Arial" w:cs="Arial"/>
          <w:sz w:val="24"/>
          <w:szCs w:val="24"/>
        </w:rPr>
        <w:t>The key ones for a public authority are listed below:</w:t>
      </w:r>
    </w:p>
    <w:p w14:paraId="794F930A" w14:textId="77777777" w:rsidR="00CA0245" w:rsidRPr="00111F24" w:rsidRDefault="00CA0245" w:rsidP="004A1F32">
      <w:pPr>
        <w:spacing w:after="0" w:line="240" w:lineRule="auto"/>
        <w:rPr>
          <w:rFonts w:ascii="Arial" w:hAnsi="Arial" w:cs="Arial"/>
          <w:sz w:val="24"/>
          <w:szCs w:val="24"/>
        </w:rPr>
      </w:pPr>
    </w:p>
    <w:p w14:paraId="2841468B" w14:textId="355D1E3A" w:rsidR="004A1F32" w:rsidRPr="00031AE9" w:rsidRDefault="004A1F32" w:rsidP="004A1F32">
      <w:pPr>
        <w:spacing w:after="0" w:line="240" w:lineRule="auto"/>
        <w:rPr>
          <w:rFonts w:ascii="Arial" w:hAnsi="Arial" w:cs="Arial"/>
          <w:b/>
          <w:sz w:val="24"/>
          <w:szCs w:val="24"/>
        </w:rPr>
      </w:pPr>
      <w:r w:rsidRPr="00111F24">
        <w:rPr>
          <w:rFonts w:ascii="Arial" w:hAnsi="Arial" w:cs="Arial"/>
          <w:b/>
          <w:sz w:val="24"/>
          <w:szCs w:val="24"/>
        </w:rPr>
        <w:t>HEALTH/SOCIAL CARE</w:t>
      </w:r>
      <w:r w:rsidR="00031AE9" w:rsidRPr="00031AE9">
        <w:rPr>
          <w:rFonts w:ascii="Arial" w:hAnsi="Arial" w:cs="Arial"/>
          <w:sz w:val="24"/>
          <w:szCs w:val="24"/>
        </w:rPr>
        <w:t>:</w:t>
      </w:r>
      <w:r w:rsidR="00031AE9">
        <w:rPr>
          <w:rFonts w:ascii="Arial" w:hAnsi="Arial" w:cs="Arial"/>
          <w:b/>
          <w:sz w:val="24"/>
          <w:szCs w:val="24"/>
        </w:rPr>
        <w:t xml:space="preserve"> </w:t>
      </w:r>
      <w:r w:rsidR="00031AE9">
        <w:rPr>
          <w:rFonts w:ascii="Arial" w:hAnsi="Arial" w:cs="Arial"/>
          <w:sz w:val="24"/>
          <w:szCs w:val="24"/>
        </w:rPr>
        <w:t>i</w:t>
      </w:r>
      <w:r w:rsidRPr="00111F24">
        <w:rPr>
          <w:rFonts w:ascii="Arial" w:hAnsi="Arial" w:cs="Arial"/>
          <w:sz w:val="24"/>
          <w:szCs w:val="24"/>
        </w:rPr>
        <w:t>f you meet this condition it is because you are working in your capacity providing health and social care treatment (and management of) and need to therefore process special category personal data. This is quite a broad condition and is likely to be a key for those working in councils who directly deliver</w:t>
      </w:r>
      <w:r w:rsidR="00C03636">
        <w:rPr>
          <w:rFonts w:ascii="Arial" w:hAnsi="Arial" w:cs="Arial"/>
          <w:sz w:val="24"/>
          <w:szCs w:val="24"/>
        </w:rPr>
        <w:t>,</w:t>
      </w:r>
      <w:r w:rsidRPr="00111F24">
        <w:rPr>
          <w:rFonts w:ascii="Arial" w:hAnsi="Arial" w:cs="Arial"/>
          <w:sz w:val="24"/>
          <w:szCs w:val="24"/>
        </w:rPr>
        <w:t xml:space="preserve"> administer or analyse the data used for the provision of health and care (and occupational health for staff).</w:t>
      </w:r>
    </w:p>
    <w:p w14:paraId="418BDA14" w14:textId="77777777" w:rsidR="00CA0245" w:rsidRPr="00111F24" w:rsidRDefault="00CA0245" w:rsidP="004A1F32">
      <w:pPr>
        <w:spacing w:after="0" w:line="240" w:lineRule="auto"/>
        <w:rPr>
          <w:rFonts w:ascii="Arial" w:hAnsi="Arial" w:cs="Arial"/>
          <w:sz w:val="24"/>
          <w:szCs w:val="24"/>
        </w:rPr>
      </w:pPr>
    </w:p>
    <w:p w14:paraId="7B06CD32" w14:textId="6C7C5F14" w:rsidR="004A1F32" w:rsidRPr="00031AE9" w:rsidRDefault="004A1F32" w:rsidP="004A1F32">
      <w:pPr>
        <w:spacing w:after="0" w:line="240" w:lineRule="auto"/>
        <w:rPr>
          <w:rFonts w:ascii="Arial" w:hAnsi="Arial" w:cs="Arial"/>
          <w:b/>
          <w:sz w:val="24"/>
          <w:szCs w:val="24"/>
        </w:rPr>
      </w:pPr>
      <w:r w:rsidRPr="00111F24">
        <w:rPr>
          <w:rFonts w:ascii="Arial" w:hAnsi="Arial" w:cs="Arial"/>
          <w:b/>
          <w:sz w:val="24"/>
          <w:szCs w:val="24"/>
        </w:rPr>
        <w:t>SOCIAL SECURITY &amp; EMPLOYMENT</w:t>
      </w:r>
      <w:r w:rsidR="00031AE9" w:rsidRPr="00031AE9">
        <w:rPr>
          <w:rFonts w:ascii="Arial" w:hAnsi="Arial" w:cs="Arial"/>
          <w:sz w:val="24"/>
          <w:szCs w:val="24"/>
        </w:rPr>
        <w:t>:</w:t>
      </w:r>
      <w:r w:rsidR="00031AE9">
        <w:rPr>
          <w:rFonts w:ascii="Arial" w:hAnsi="Arial" w:cs="Arial"/>
          <w:b/>
          <w:sz w:val="24"/>
          <w:szCs w:val="24"/>
        </w:rPr>
        <w:t xml:space="preserve"> </w:t>
      </w:r>
      <w:r w:rsidR="00031AE9">
        <w:rPr>
          <w:rFonts w:ascii="Arial" w:hAnsi="Arial" w:cs="Arial"/>
          <w:sz w:val="24"/>
          <w:szCs w:val="24"/>
        </w:rPr>
        <w:t>i</w:t>
      </w:r>
      <w:r w:rsidRPr="00111F24">
        <w:rPr>
          <w:rFonts w:ascii="Arial" w:hAnsi="Arial" w:cs="Arial"/>
          <w:sz w:val="24"/>
          <w:szCs w:val="24"/>
        </w:rPr>
        <w:t>f you meet this condition it is because you are working to discharge employment and specific social security laws and need to process special category personal data. This is likely to be relevant for HR teams, and those managing benefits (e.g. housing).</w:t>
      </w:r>
    </w:p>
    <w:p w14:paraId="27DCD011" w14:textId="77777777" w:rsidR="00CA0245" w:rsidRPr="00111F24" w:rsidRDefault="00CA0245" w:rsidP="004A1F32">
      <w:pPr>
        <w:spacing w:after="0" w:line="240" w:lineRule="auto"/>
        <w:rPr>
          <w:rFonts w:ascii="Arial" w:hAnsi="Arial" w:cs="Arial"/>
          <w:sz w:val="24"/>
          <w:szCs w:val="24"/>
        </w:rPr>
      </w:pPr>
    </w:p>
    <w:p w14:paraId="0E1015F7" w14:textId="58534DBE" w:rsidR="004A1F32" w:rsidRPr="00031AE9" w:rsidRDefault="004A1F32" w:rsidP="004A1F32">
      <w:pPr>
        <w:spacing w:after="0" w:line="240" w:lineRule="auto"/>
        <w:rPr>
          <w:rFonts w:ascii="Arial" w:hAnsi="Arial" w:cs="Arial"/>
          <w:b/>
          <w:sz w:val="24"/>
          <w:szCs w:val="24"/>
        </w:rPr>
      </w:pPr>
      <w:r w:rsidRPr="00111F24">
        <w:rPr>
          <w:rFonts w:ascii="Arial" w:hAnsi="Arial" w:cs="Arial"/>
          <w:b/>
          <w:sz w:val="24"/>
          <w:szCs w:val="24"/>
        </w:rPr>
        <w:t>PUBLIC HEALTH</w:t>
      </w:r>
      <w:r w:rsidR="00031AE9" w:rsidRPr="00031AE9">
        <w:rPr>
          <w:rFonts w:ascii="Arial" w:hAnsi="Arial" w:cs="Arial"/>
          <w:sz w:val="24"/>
          <w:szCs w:val="24"/>
        </w:rPr>
        <w:t>:</w:t>
      </w:r>
      <w:r w:rsidR="00031AE9">
        <w:rPr>
          <w:rFonts w:ascii="Arial" w:hAnsi="Arial" w:cs="Arial"/>
          <w:b/>
          <w:sz w:val="24"/>
          <w:szCs w:val="24"/>
        </w:rPr>
        <w:t xml:space="preserve"> </w:t>
      </w:r>
      <w:r w:rsidR="00031AE9">
        <w:rPr>
          <w:rFonts w:ascii="Arial" w:hAnsi="Arial" w:cs="Arial"/>
          <w:sz w:val="24"/>
          <w:szCs w:val="24"/>
        </w:rPr>
        <w:t>t</w:t>
      </w:r>
      <w:r w:rsidRPr="00111F24">
        <w:rPr>
          <w:rFonts w:ascii="Arial" w:hAnsi="Arial" w:cs="Arial"/>
          <w:sz w:val="24"/>
          <w:szCs w:val="24"/>
        </w:rPr>
        <w:t>his condition should be relied on where the processing of special category data is to uphold the standards of quality of a health care system, the products and services (e.g. devices, medicines) and to protect against serious public health threats (e.g. infections). The data which is used for county-wide audits, patient safety programmes, bench-marking etc could full into this area.</w:t>
      </w:r>
    </w:p>
    <w:p w14:paraId="38DB9E98" w14:textId="77777777" w:rsidR="00CA0245" w:rsidRPr="00111F24" w:rsidRDefault="00CA0245" w:rsidP="004A1F32">
      <w:pPr>
        <w:spacing w:after="0" w:line="240" w:lineRule="auto"/>
        <w:rPr>
          <w:rFonts w:ascii="Arial" w:hAnsi="Arial" w:cs="Arial"/>
          <w:sz w:val="24"/>
          <w:szCs w:val="24"/>
        </w:rPr>
      </w:pPr>
    </w:p>
    <w:p w14:paraId="74E53E9A" w14:textId="0EAF7B21" w:rsidR="004A1F32" w:rsidRPr="00031AE9" w:rsidRDefault="004A1F32" w:rsidP="004A1F32">
      <w:pPr>
        <w:pStyle w:val="NormalWeb"/>
        <w:spacing w:before="0" w:beforeAutospacing="0" w:after="0" w:afterAutospacing="0"/>
        <w:rPr>
          <w:rFonts w:ascii="Arial" w:hAnsi="Arial" w:cs="Arial"/>
          <w:b/>
          <w:color w:val="000000"/>
        </w:rPr>
      </w:pPr>
      <w:r w:rsidRPr="00111F24">
        <w:rPr>
          <w:rFonts w:ascii="Arial" w:hAnsi="Arial" w:cs="Arial"/>
          <w:b/>
          <w:color w:val="000000"/>
        </w:rPr>
        <w:t>EXPLICIT CONSENT</w:t>
      </w:r>
      <w:r w:rsidR="00031AE9" w:rsidRPr="004549C4">
        <w:rPr>
          <w:rFonts w:ascii="Arial" w:hAnsi="Arial" w:cs="Arial"/>
          <w:color w:val="000000"/>
        </w:rPr>
        <w:t>:</w:t>
      </w:r>
      <w:r w:rsidR="00031AE9">
        <w:rPr>
          <w:rFonts w:ascii="Arial" w:hAnsi="Arial" w:cs="Arial"/>
          <w:b/>
          <w:color w:val="000000"/>
        </w:rPr>
        <w:t xml:space="preserve"> </w:t>
      </w:r>
      <w:r w:rsidR="00031AE9">
        <w:rPr>
          <w:rFonts w:ascii="Arial" w:hAnsi="Arial" w:cs="Arial"/>
          <w:color w:val="000000"/>
        </w:rPr>
        <w:t>i</w:t>
      </w:r>
      <w:r w:rsidRPr="00111F24">
        <w:rPr>
          <w:rFonts w:ascii="Arial" w:hAnsi="Arial" w:cs="Arial"/>
          <w:color w:val="000000"/>
        </w:rPr>
        <w:t xml:space="preserve">f this condition is used (in preference to the others) then consent needs to be clear unambiguous agreement from the subjects that their special category personal data is to be used for a specified purpose. </w:t>
      </w:r>
    </w:p>
    <w:p w14:paraId="69F32804" w14:textId="77777777" w:rsidR="00CA0245" w:rsidRPr="00111F24" w:rsidRDefault="00CA0245" w:rsidP="004A1F32">
      <w:pPr>
        <w:pStyle w:val="NormalWeb"/>
        <w:spacing w:before="0" w:beforeAutospacing="0" w:after="0" w:afterAutospacing="0"/>
        <w:rPr>
          <w:rFonts w:ascii="Arial" w:hAnsi="Arial" w:cs="Arial"/>
          <w:color w:val="000000"/>
        </w:rPr>
      </w:pPr>
    </w:p>
    <w:p w14:paraId="17D2F90B" w14:textId="3AE13E76" w:rsidR="004A1F32" w:rsidRPr="004549C4" w:rsidRDefault="004A1F32" w:rsidP="004A1F32">
      <w:pPr>
        <w:spacing w:after="0" w:line="240" w:lineRule="auto"/>
        <w:rPr>
          <w:rFonts w:ascii="Arial" w:hAnsi="Arial" w:cs="Arial"/>
          <w:b/>
          <w:sz w:val="24"/>
          <w:szCs w:val="24"/>
        </w:rPr>
      </w:pPr>
      <w:r w:rsidRPr="00111F24">
        <w:rPr>
          <w:rFonts w:ascii="Arial" w:hAnsi="Arial" w:cs="Arial"/>
          <w:b/>
          <w:sz w:val="24"/>
          <w:szCs w:val="24"/>
        </w:rPr>
        <w:t>SUBSTANTIAL PUBLIC INTEREST</w:t>
      </w:r>
      <w:r w:rsidR="004549C4" w:rsidRPr="004549C4">
        <w:rPr>
          <w:rFonts w:ascii="Arial" w:hAnsi="Arial" w:cs="Arial"/>
          <w:sz w:val="24"/>
          <w:szCs w:val="24"/>
        </w:rPr>
        <w:t>:</w:t>
      </w:r>
      <w:r w:rsidR="004549C4">
        <w:rPr>
          <w:rFonts w:ascii="Arial" w:hAnsi="Arial" w:cs="Arial"/>
          <w:b/>
          <w:sz w:val="24"/>
          <w:szCs w:val="24"/>
        </w:rPr>
        <w:t xml:space="preserve"> </w:t>
      </w:r>
      <w:r w:rsidR="004549C4">
        <w:rPr>
          <w:rFonts w:ascii="Arial" w:hAnsi="Arial" w:cs="Arial"/>
          <w:sz w:val="24"/>
          <w:szCs w:val="24"/>
        </w:rPr>
        <w:t>i</w:t>
      </w:r>
      <w:r w:rsidRPr="00111F24">
        <w:rPr>
          <w:rFonts w:ascii="Arial" w:hAnsi="Arial" w:cs="Arial"/>
          <w:sz w:val="24"/>
          <w:szCs w:val="24"/>
        </w:rPr>
        <w:t xml:space="preserve">f this condition is to be used for the processing of special category personal data, then there needs to be a ‘substantial </w:t>
      </w:r>
      <w:r w:rsidRPr="00111F24">
        <w:rPr>
          <w:rFonts w:ascii="Arial" w:hAnsi="Arial" w:cs="Arial"/>
          <w:sz w:val="24"/>
          <w:szCs w:val="24"/>
        </w:rPr>
        <w:lastRenderedPageBreak/>
        <w:t>public interest’ and the data processed proportionate (i.e. balancing the privacy and rights of individuals with the overall public interest). In local authority, Police or NHS context this likely to be relied upon where specific conditions on health/care, public health and social security/employment do not fit.</w:t>
      </w:r>
      <w:r w:rsidRPr="00111F24">
        <w:rPr>
          <w:rStyle w:val="FootnoteReference"/>
          <w:rFonts w:ascii="Arial" w:hAnsi="Arial" w:cs="Arial"/>
          <w:sz w:val="24"/>
          <w:szCs w:val="24"/>
        </w:rPr>
        <w:footnoteReference w:id="5"/>
      </w:r>
    </w:p>
    <w:p w14:paraId="13A8E2C8" w14:textId="52F27ABE" w:rsidR="004A1F32" w:rsidRDefault="004A1F32" w:rsidP="004A1F32">
      <w:pPr>
        <w:spacing w:after="0" w:line="240" w:lineRule="auto"/>
        <w:rPr>
          <w:rFonts w:ascii="Arial" w:hAnsi="Arial" w:cs="Arial"/>
          <w:sz w:val="24"/>
          <w:szCs w:val="24"/>
        </w:rPr>
      </w:pPr>
    </w:p>
    <w:p w14:paraId="5110C695" w14:textId="15475273" w:rsidR="004A1F32" w:rsidRPr="00111F24" w:rsidRDefault="004A1F32" w:rsidP="004A1F32">
      <w:pPr>
        <w:spacing w:after="0" w:line="240" w:lineRule="auto"/>
        <w:rPr>
          <w:rFonts w:ascii="Arial" w:hAnsi="Arial" w:cs="Arial"/>
          <w:b/>
          <w:sz w:val="24"/>
          <w:szCs w:val="24"/>
        </w:rPr>
      </w:pPr>
      <w:r w:rsidRPr="00111F24">
        <w:rPr>
          <w:rFonts w:ascii="Arial" w:hAnsi="Arial" w:cs="Arial"/>
          <w:b/>
          <w:sz w:val="24"/>
          <w:szCs w:val="24"/>
        </w:rPr>
        <w:t xml:space="preserve">Understanding </w:t>
      </w:r>
      <w:r w:rsidR="00BD1581">
        <w:rPr>
          <w:rFonts w:ascii="Arial" w:hAnsi="Arial" w:cs="Arial"/>
          <w:b/>
          <w:sz w:val="24"/>
          <w:szCs w:val="24"/>
        </w:rPr>
        <w:t xml:space="preserve">a </w:t>
      </w:r>
      <w:r w:rsidRPr="00111F24">
        <w:rPr>
          <w:rFonts w:ascii="Arial" w:hAnsi="Arial" w:cs="Arial"/>
          <w:b/>
          <w:sz w:val="24"/>
          <w:szCs w:val="24"/>
        </w:rPr>
        <w:t xml:space="preserve">combination of lawful basis and conditions for </w:t>
      </w:r>
      <w:r w:rsidR="00221D42">
        <w:rPr>
          <w:rFonts w:ascii="Arial" w:hAnsi="Arial" w:cs="Arial"/>
          <w:b/>
          <w:sz w:val="24"/>
          <w:szCs w:val="24"/>
        </w:rPr>
        <w:t xml:space="preserve">processing </w:t>
      </w:r>
      <w:r w:rsidRPr="00111F24">
        <w:rPr>
          <w:rFonts w:ascii="Arial" w:hAnsi="Arial" w:cs="Arial"/>
          <w:b/>
          <w:sz w:val="24"/>
          <w:szCs w:val="24"/>
        </w:rPr>
        <w:t>special category</w:t>
      </w:r>
    </w:p>
    <w:p w14:paraId="2B8AE0EC" w14:textId="77777777" w:rsidR="00485E26" w:rsidRDefault="00485E26" w:rsidP="004A1F32">
      <w:pPr>
        <w:spacing w:after="0" w:line="240" w:lineRule="auto"/>
        <w:rPr>
          <w:rFonts w:ascii="Arial" w:hAnsi="Arial" w:cs="Arial"/>
          <w:sz w:val="24"/>
          <w:szCs w:val="24"/>
        </w:rPr>
      </w:pPr>
    </w:p>
    <w:p w14:paraId="0B9F1740" w14:textId="0C003A0D" w:rsidR="004A1F32" w:rsidRDefault="004A1F32" w:rsidP="004A1F32">
      <w:pPr>
        <w:spacing w:after="0" w:line="240" w:lineRule="auto"/>
        <w:rPr>
          <w:rFonts w:ascii="Arial" w:hAnsi="Arial" w:cs="Arial"/>
          <w:sz w:val="24"/>
          <w:szCs w:val="24"/>
        </w:rPr>
      </w:pPr>
      <w:r w:rsidRPr="00111F24">
        <w:rPr>
          <w:rFonts w:ascii="Arial" w:hAnsi="Arial" w:cs="Arial"/>
          <w:sz w:val="24"/>
          <w:szCs w:val="24"/>
        </w:rPr>
        <w:t xml:space="preserve">This area is complex, and some examples are the best way of showing the selection of legal basis and condition for special category. Each project/service is unique, and the combination will vary. The cases below are </w:t>
      </w:r>
      <w:r w:rsidRPr="00111F24">
        <w:rPr>
          <w:rFonts w:ascii="Arial" w:hAnsi="Arial" w:cs="Arial"/>
          <w:b/>
          <w:sz w:val="24"/>
          <w:szCs w:val="24"/>
          <w:u w:val="single"/>
        </w:rPr>
        <w:t>purely illustrative and not definitive</w:t>
      </w:r>
      <w:r w:rsidRPr="00111F24">
        <w:rPr>
          <w:rFonts w:ascii="Arial" w:hAnsi="Arial" w:cs="Arial"/>
          <w:sz w:val="24"/>
          <w:szCs w:val="24"/>
        </w:rPr>
        <w:t xml:space="preserve">: </w:t>
      </w:r>
    </w:p>
    <w:p w14:paraId="63295C98" w14:textId="77777777" w:rsidR="005C03FC" w:rsidRDefault="005C03FC" w:rsidP="004A1F32">
      <w:pPr>
        <w:spacing w:after="0" w:line="240" w:lineRule="auto"/>
        <w:rPr>
          <w:rFonts w:ascii="Arial" w:hAnsi="Arial" w:cs="Arial"/>
          <w:sz w:val="24"/>
          <w:szCs w:val="24"/>
        </w:rPr>
      </w:pPr>
    </w:p>
    <w:p w14:paraId="714BB2E9" w14:textId="6CFA8E13" w:rsidR="004A1F32" w:rsidRPr="005C03FC" w:rsidRDefault="004A1F32" w:rsidP="004A1F32">
      <w:pPr>
        <w:spacing w:after="0" w:line="240" w:lineRule="auto"/>
        <w:rPr>
          <w:rFonts w:ascii="Arial" w:hAnsi="Arial" w:cs="Arial"/>
          <w:b/>
          <w:sz w:val="24"/>
          <w:szCs w:val="24"/>
        </w:rPr>
      </w:pPr>
      <w:r w:rsidRPr="005C03FC">
        <w:rPr>
          <w:rFonts w:ascii="Arial" w:hAnsi="Arial" w:cs="Arial"/>
          <w:b/>
          <w:sz w:val="24"/>
          <w:szCs w:val="24"/>
        </w:rPr>
        <w:t>Example 1</w:t>
      </w:r>
    </w:p>
    <w:tbl>
      <w:tblPr>
        <w:tblStyle w:val="TableGrid"/>
        <w:tblW w:w="0" w:type="auto"/>
        <w:tblLook w:val="04A0" w:firstRow="1" w:lastRow="0" w:firstColumn="1" w:lastColumn="0" w:noHBand="0" w:noVBand="1"/>
      </w:tblPr>
      <w:tblGrid>
        <w:gridCol w:w="9016"/>
      </w:tblGrid>
      <w:tr w:rsidR="004A1F32" w:rsidRPr="00111F24" w14:paraId="3BC2CAD2" w14:textId="77777777" w:rsidTr="007D40A0">
        <w:tc>
          <w:tcPr>
            <w:tcW w:w="9016" w:type="dxa"/>
          </w:tcPr>
          <w:p w14:paraId="001B8B7C" w14:textId="16541F3F" w:rsidR="004A1F32" w:rsidRPr="00111F24" w:rsidRDefault="004A1F32" w:rsidP="007D40A0">
            <w:pPr>
              <w:rPr>
                <w:rFonts w:ascii="Arial" w:hAnsi="Arial" w:cs="Arial"/>
                <w:sz w:val="24"/>
                <w:szCs w:val="24"/>
              </w:rPr>
            </w:pPr>
            <w:r w:rsidRPr="00111F24">
              <w:rPr>
                <w:rFonts w:ascii="Arial" w:hAnsi="Arial" w:cs="Arial"/>
                <w:sz w:val="24"/>
                <w:szCs w:val="24"/>
              </w:rPr>
              <w:t>Project type: Need to process names, addresses and case number</w:t>
            </w:r>
            <w:r w:rsidR="007E2023">
              <w:rPr>
                <w:rFonts w:ascii="Arial" w:hAnsi="Arial" w:cs="Arial"/>
                <w:sz w:val="24"/>
                <w:szCs w:val="24"/>
              </w:rPr>
              <w:t>s</w:t>
            </w:r>
            <w:r w:rsidRPr="00111F24">
              <w:rPr>
                <w:rFonts w:ascii="Arial" w:hAnsi="Arial" w:cs="Arial"/>
                <w:sz w:val="24"/>
                <w:szCs w:val="24"/>
              </w:rPr>
              <w:t xml:space="preserve"> (no special category) as well as payments for council tax revenue analysis</w:t>
            </w:r>
          </w:p>
        </w:tc>
      </w:tr>
      <w:tr w:rsidR="004A1F32" w:rsidRPr="00111F24" w14:paraId="7E2564A8" w14:textId="77777777" w:rsidTr="007D40A0">
        <w:tc>
          <w:tcPr>
            <w:tcW w:w="9016" w:type="dxa"/>
          </w:tcPr>
          <w:p w14:paraId="3AEBABAA" w14:textId="77777777" w:rsidR="004A1F32" w:rsidRPr="00111F24" w:rsidRDefault="004A1F32" w:rsidP="007D40A0">
            <w:pPr>
              <w:rPr>
                <w:rFonts w:ascii="Arial" w:hAnsi="Arial" w:cs="Arial"/>
                <w:sz w:val="24"/>
                <w:szCs w:val="24"/>
              </w:rPr>
            </w:pPr>
            <w:r w:rsidRPr="00111F24">
              <w:rPr>
                <w:rFonts w:ascii="Arial" w:hAnsi="Arial" w:cs="Arial"/>
                <w:sz w:val="24"/>
                <w:szCs w:val="24"/>
              </w:rPr>
              <w:t>Lawful basis:      PUBLIC TASK</w:t>
            </w:r>
          </w:p>
        </w:tc>
      </w:tr>
      <w:tr w:rsidR="004A1F32" w:rsidRPr="00111F24" w14:paraId="64D48C56" w14:textId="77777777" w:rsidTr="007D40A0">
        <w:tc>
          <w:tcPr>
            <w:tcW w:w="9016" w:type="dxa"/>
          </w:tcPr>
          <w:p w14:paraId="7B93814E" w14:textId="77777777" w:rsidR="004A1F32" w:rsidRPr="00111F24" w:rsidRDefault="004A1F32" w:rsidP="007D40A0">
            <w:pPr>
              <w:rPr>
                <w:rFonts w:ascii="Arial" w:hAnsi="Arial" w:cs="Arial"/>
                <w:sz w:val="24"/>
                <w:szCs w:val="24"/>
              </w:rPr>
            </w:pPr>
            <w:r w:rsidRPr="00111F24">
              <w:rPr>
                <w:rFonts w:ascii="Arial" w:hAnsi="Arial" w:cs="Arial"/>
                <w:sz w:val="24"/>
                <w:szCs w:val="24"/>
              </w:rPr>
              <w:t>Special category condition:  Not Relevant</w:t>
            </w:r>
          </w:p>
        </w:tc>
      </w:tr>
    </w:tbl>
    <w:p w14:paraId="4918BAF3" w14:textId="77777777" w:rsidR="004A1F32" w:rsidRPr="00111F24" w:rsidRDefault="004A1F32" w:rsidP="004A1F32">
      <w:pPr>
        <w:spacing w:after="0" w:line="240" w:lineRule="auto"/>
        <w:rPr>
          <w:rFonts w:ascii="Arial" w:hAnsi="Arial" w:cs="Arial"/>
          <w:sz w:val="24"/>
          <w:szCs w:val="24"/>
        </w:rPr>
      </w:pPr>
    </w:p>
    <w:p w14:paraId="54C8D1D8" w14:textId="44D2306D" w:rsidR="004A1F32" w:rsidRPr="005C03FC" w:rsidRDefault="004A1F32" w:rsidP="004A1F32">
      <w:pPr>
        <w:pStyle w:val="NormalWeb"/>
        <w:spacing w:before="0" w:beforeAutospacing="0" w:after="0" w:afterAutospacing="0"/>
        <w:rPr>
          <w:rFonts w:ascii="Arial" w:hAnsi="Arial" w:cs="Arial"/>
          <w:b/>
          <w:color w:val="000000"/>
        </w:rPr>
      </w:pPr>
      <w:r w:rsidRPr="005C03FC">
        <w:rPr>
          <w:rFonts w:ascii="Arial" w:hAnsi="Arial" w:cs="Arial"/>
          <w:b/>
          <w:color w:val="000000"/>
        </w:rPr>
        <w:t>Example 2</w:t>
      </w:r>
    </w:p>
    <w:tbl>
      <w:tblPr>
        <w:tblStyle w:val="TableGrid"/>
        <w:tblW w:w="0" w:type="auto"/>
        <w:tblLook w:val="04A0" w:firstRow="1" w:lastRow="0" w:firstColumn="1" w:lastColumn="0" w:noHBand="0" w:noVBand="1"/>
      </w:tblPr>
      <w:tblGrid>
        <w:gridCol w:w="9016"/>
      </w:tblGrid>
      <w:tr w:rsidR="004A1F32" w:rsidRPr="00111F24" w14:paraId="764D3CA8" w14:textId="77777777" w:rsidTr="007D40A0">
        <w:tc>
          <w:tcPr>
            <w:tcW w:w="9016" w:type="dxa"/>
          </w:tcPr>
          <w:p w14:paraId="372735F1" w14:textId="77777777" w:rsidR="004A1F32" w:rsidRPr="00111F24" w:rsidRDefault="004A1F32" w:rsidP="007D40A0">
            <w:pPr>
              <w:pStyle w:val="NormalWeb"/>
              <w:spacing w:before="0" w:beforeAutospacing="0" w:after="0" w:afterAutospacing="0"/>
              <w:rPr>
                <w:rFonts w:ascii="Arial" w:hAnsi="Arial" w:cs="Arial"/>
                <w:color w:val="000000"/>
              </w:rPr>
            </w:pPr>
            <w:r w:rsidRPr="00111F24">
              <w:rPr>
                <w:rFonts w:ascii="Arial" w:hAnsi="Arial" w:cs="Arial"/>
                <w:color w:val="000000"/>
              </w:rPr>
              <w:t>Project type: HR need to process names, addresses, employment and ethnicity details (special category) that are used and shared with bodies to comply with equality legislation.</w:t>
            </w:r>
          </w:p>
        </w:tc>
      </w:tr>
      <w:tr w:rsidR="004A1F32" w:rsidRPr="00111F24" w14:paraId="4F613B3B" w14:textId="77777777" w:rsidTr="007D40A0">
        <w:tc>
          <w:tcPr>
            <w:tcW w:w="9016" w:type="dxa"/>
          </w:tcPr>
          <w:p w14:paraId="0C1CFEA2" w14:textId="77777777" w:rsidR="004A1F32" w:rsidRPr="00111F24" w:rsidRDefault="004A1F32" w:rsidP="007D40A0">
            <w:pPr>
              <w:pStyle w:val="NormalWeb"/>
              <w:spacing w:before="0" w:beforeAutospacing="0" w:after="0" w:afterAutospacing="0"/>
              <w:rPr>
                <w:rFonts w:ascii="Arial" w:hAnsi="Arial" w:cs="Arial"/>
                <w:color w:val="000000"/>
              </w:rPr>
            </w:pPr>
            <w:r w:rsidRPr="00111F24">
              <w:rPr>
                <w:rFonts w:ascii="Arial" w:hAnsi="Arial" w:cs="Arial"/>
                <w:color w:val="000000"/>
              </w:rPr>
              <w:t>Lawful basis:  LEGAL OBLIGATION</w:t>
            </w:r>
          </w:p>
        </w:tc>
      </w:tr>
      <w:tr w:rsidR="004A1F32" w:rsidRPr="00111F24" w14:paraId="4DA5F243" w14:textId="77777777" w:rsidTr="007D40A0">
        <w:tc>
          <w:tcPr>
            <w:tcW w:w="9016" w:type="dxa"/>
          </w:tcPr>
          <w:p w14:paraId="602A30FB" w14:textId="77777777" w:rsidR="004A1F32" w:rsidRPr="00111F24" w:rsidRDefault="004A1F32" w:rsidP="007D40A0">
            <w:pPr>
              <w:pStyle w:val="NormalWeb"/>
              <w:spacing w:before="0" w:beforeAutospacing="0" w:after="0" w:afterAutospacing="0"/>
              <w:rPr>
                <w:rFonts w:ascii="Arial" w:hAnsi="Arial" w:cs="Arial"/>
                <w:color w:val="000000"/>
              </w:rPr>
            </w:pPr>
            <w:r w:rsidRPr="00111F24">
              <w:rPr>
                <w:rFonts w:ascii="Arial" w:hAnsi="Arial" w:cs="Arial"/>
                <w:color w:val="000000"/>
              </w:rPr>
              <w:t>Special category condition: SOCIAL SECURITY &amp; EMPLOYMENT</w:t>
            </w:r>
          </w:p>
        </w:tc>
      </w:tr>
    </w:tbl>
    <w:p w14:paraId="724BCF73" w14:textId="77777777" w:rsidR="004A1F32" w:rsidRPr="00111F24" w:rsidRDefault="004A1F32" w:rsidP="004A1F32">
      <w:pPr>
        <w:pStyle w:val="NormalWeb"/>
        <w:spacing w:before="0" w:beforeAutospacing="0" w:after="0" w:afterAutospacing="0"/>
        <w:rPr>
          <w:rFonts w:ascii="Arial" w:hAnsi="Arial" w:cs="Arial"/>
          <w:color w:val="000000"/>
        </w:rPr>
      </w:pPr>
    </w:p>
    <w:p w14:paraId="61626A2F" w14:textId="77777777" w:rsidR="004A1F32" w:rsidRPr="005C03FC" w:rsidRDefault="004A1F32" w:rsidP="004A1F32">
      <w:pPr>
        <w:pStyle w:val="NormalWeb"/>
        <w:spacing w:before="0" w:beforeAutospacing="0" w:after="0" w:afterAutospacing="0"/>
        <w:rPr>
          <w:rFonts w:ascii="Arial" w:hAnsi="Arial" w:cs="Arial"/>
          <w:b/>
          <w:color w:val="000000"/>
        </w:rPr>
      </w:pPr>
      <w:r w:rsidRPr="005C03FC">
        <w:rPr>
          <w:rFonts w:ascii="Arial" w:hAnsi="Arial" w:cs="Arial"/>
          <w:b/>
          <w:color w:val="000000"/>
        </w:rPr>
        <w:t>Example 3</w:t>
      </w:r>
    </w:p>
    <w:tbl>
      <w:tblPr>
        <w:tblStyle w:val="TableGrid"/>
        <w:tblW w:w="0" w:type="auto"/>
        <w:tblLook w:val="04A0" w:firstRow="1" w:lastRow="0" w:firstColumn="1" w:lastColumn="0" w:noHBand="0" w:noVBand="1"/>
      </w:tblPr>
      <w:tblGrid>
        <w:gridCol w:w="9016"/>
      </w:tblGrid>
      <w:tr w:rsidR="004A1F32" w:rsidRPr="00111F24" w14:paraId="1ABA65D2" w14:textId="77777777" w:rsidTr="007D40A0">
        <w:tc>
          <w:tcPr>
            <w:tcW w:w="9016" w:type="dxa"/>
          </w:tcPr>
          <w:p w14:paraId="17906D36" w14:textId="0855C44A" w:rsidR="004A1F32" w:rsidRPr="00111F24" w:rsidRDefault="004A1F32" w:rsidP="007D40A0">
            <w:pPr>
              <w:pStyle w:val="NormalWeb"/>
              <w:spacing w:before="0" w:beforeAutospacing="0" w:after="0" w:afterAutospacing="0"/>
              <w:rPr>
                <w:rFonts w:ascii="Arial" w:hAnsi="Arial" w:cs="Arial"/>
                <w:color w:val="000000"/>
              </w:rPr>
            </w:pPr>
            <w:r w:rsidRPr="00111F24">
              <w:rPr>
                <w:rFonts w:ascii="Arial" w:hAnsi="Arial" w:cs="Arial"/>
                <w:color w:val="000000"/>
              </w:rPr>
              <w:t>Project type: Need to process names, addresses, case number</w:t>
            </w:r>
            <w:r w:rsidR="005B56AA">
              <w:rPr>
                <w:rFonts w:ascii="Arial" w:hAnsi="Arial" w:cs="Arial"/>
                <w:color w:val="000000"/>
              </w:rPr>
              <w:t>s</w:t>
            </w:r>
            <w:r w:rsidRPr="00111F24">
              <w:rPr>
                <w:rFonts w:ascii="Arial" w:hAnsi="Arial" w:cs="Arial"/>
                <w:color w:val="000000"/>
              </w:rPr>
              <w:t xml:space="preserve"> to enrol on course</w:t>
            </w:r>
            <w:r w:rsidR="005B56AA">
              <w:rPr>
                <w:rFonts w:ascii="Arial" w:hAnsi="Arial" w:cs="Arial"/>
                <w:color w:val="000000"/>
              </w:rPr>
              <w:t>s</w:t>
            </w:r>
            <w:r w:rsidRPr="00111F24">
              <w:rPr>
                <w:rFonts w:ascii="Arial" w:hAnsi="Arial" w:cs="Arial"/>
                <w:color w:val="000000"/>
              </w:rPr>
              <w:t xml:space="preserve"> and ideally health and care information (special category) for a pregnancy health awareness optional service that is being piloted.</w:t>
            </w:r>
          </w:p>
        </w:tc>
      </w:tr>
      <w:tr w:rsidR="004A1F32" w:rsidRPr="00111F24" w14:paraId="7C4E5F33" w14:textId="77777777" w:rsidTr="007D40A0">
        <w:tc>
          <w:tcPr>
            <w:tcW w:w="9016" w:type="dxa"/>
          </w:tcPr>
          <w:p w14:paraId="7BE0DB6A" w14:textId="77777777" w:rsidR="004A1F32" w:rsidRPr="00111F24" w:rsidRDefault="004A1F32" w:rsidP="007D40A0">
            <w:pPr>
              <w:pStyle w:val="NormalWeb"/>
              <w:spacing w:before="0" w:beforeAutospacing="0" w:after="0" w:afterAutospacing="0"/>
              <w:rPr>
                <w:rFonts w:ascii="Arial" w:hAnsi="Arial" w:cs="Arial"/>
                <w:color w:val="000000"/>
              </w:rPr>
            </w:pPr>
            <w:r w:rsidRPr="00111F24">
              <w:rPr>
                <w:rFonts w:ascii="Arial" w:hAnsi="Arial" w:cs="Arial"/>
                <w:color w:val="000000"/>
              </w:rPr>
              <w:t>Lawful basis: PUBLIC TASK</w:t>
            </w:r>
          </w:p>
        </w:tc>
      </w:tr>
      <w:tr w:rsidR="004A1F32" w:rsidRPr="00111F24" w14:paraId="583907DA" w14:textId="77777777" w:rsidTr="007D40A0">
        <w:tc>
          <w:tcPr>
            <w:tcW w:w="9016" w:type="dxa"/>
          </w:tcPr>
          <w:p w14:paraId="65A724BB" w14:textId="77777777" w:rsidR="004A1F32" w:rsidRPr="00111F24" w:rsidRDefault="004A1F32" w:rsidP="007D40A0">
            <w:pPr>
              <w:pStyle w:val="NormalWeb"/>
              <w:spacing w:before="0" w:beforeAutospacing="0" w:after="0" w:afterAutospacing="0"/>
              <w:rPr>
                <w:rFonts w:ascii="Arial" w:hAnsi="Arial" w:cs="Arial"/>
                <w:color w:val="000000"/>
              </w:rPr>
            </w:pPr>
            <w:r w:rsidRPr="00111F24">
              <w:rPr>
                <w:rFonts w:ascii="Arial" w:hAnsi="Arial" w:cs="Arial"/>
                <w:color w:val="000000"/>
              </w:rPr>
              <w:t>Special category condition: EXPLICIT CONSENT</w:t>
            </w:r>
          </w:p>
        </w:tc>
      </w:tr>
    </w:tbl>
    <w:p w14:paraId="1EEF21F2" w14:textId="77777777" w:rsidR="004A1F32" w:rsidRPr="00111F24" w:rsidRDefault="004A1F32" w:rsidP="004A1F32">
      <w:pPr>
        <w:pStyle w:val="NormalWeb"/>
        <w:spacing w:before="0" w:beforeAutospacing="0" w:after="0" w:afterAutospacing="0"/>
        <w:rPr>
          <w:rFonts w:ascii="Arial" w:hAnsi="Arial" w:cs="Arial"/>
          <w:color w:val="000000"/>
        </w:rPr>
      </w:pPr>
    </w:p>
    <w:p w14:paraId="56F5FC08" w14:textId="77777777" w:rsidR="004A1F32" w:rsidRPr="005C03FC" w:rsidRDefault="004A1F32" w:rsidP="004A1F32">
      <w:pPr>
        <w:pStyle w:val="NormalWeb"/>
        <w:spacing w:before="0" w:beforeAutospacing="0" w:after="0" w:afterAutospacing="0"/>
        <w:rPr>
          <w:rFonts w:ascii="Arial" w:hAnsi="Arial" w:cs="Arial"/>
          <w:b/>
          <w:color w:val="000000"/>
        </w:rPr>
      </w:pPr>
      <w:r w:rsidRPr="005C03FC">
        <w:rPr>
          <w:rFonts w:ascii="Arial" w:hAnsi="Arial" w:cs="Arial"/>
          <w:b/>
          <w:color w:val="000000"/>
        </w:rPr>
        <w:t>Example 4</w:t>
      </w:r>
    </w:p>
    <w:tbl>
      <w:tblPr>
        <w:tblStyle w:val="TableGrid"/>
        <w:tblW w:w="0" w:type="auto"/>
        <w:tblLook w:val="04A0" w:firstRow="1" w:lastRow="0" w:firstColumn="1" w:lastColumn="0" w:noHBand="0" w:noVBand="1"/>
      </w:tblPr>
      <w:tblGrid>
        <w:gridCol w:w="9016"/>
      </w:tblGrid>
      <w:tr w:rsidR="004A1F32" w:rsidRPr="00111F24" w14:paraId="6D09743C" w14:textId="77777777" w:rsidTr="007D40A0">
        <w:tc>
          <w:tcPr>
            <w:tcW w:w="9016" w:type="dxa"/>
          </w:tcPr>
          <w:p w14:paraId="35D2A4CF" w14:textId="77777777" w:rsidR="004A1F32" w:rsidRPr="00111F24" w:rsidRDefault="004A1F32" w:rsidP="007D40A0">
            <w:pPr>
              <w:pStyle w:val="NormalWeb"/>
              <w:spacing w:before="0" w:beforeAutospacing="0" w:after="0" w:afterAutospacing="0"/>
              <w:rPr>
                <w:rFonts w:ascii="Arial" w:hAnsi="Arial" w:cs="Arial"/>
                <w:color w:val="000000"/>
              </w:rPr>
            </w:pPr>
            <w:r w:rsidRPr="00111F24">
              <w:rPr>
                <w:rFonts w:ascii="Arial" w:hAnsi="Arial" w:cs="Arial"/>
                <w:color w:val="000000"/>
              </w:rPr>
              <w:t>Project type: Need to process names, address and health and social care case information for a youth offender course which is considered a core part of rehabilitation/behaviour adjustment.</w:t>
            </w:r>
          </w:p>
        </w:tc>
      </w:tr>
      <w:tr w:rsidR="004A1F32" w:rsidRPr="00111F24" w14:paraId="570AE020" w14:textId="77777777" w:rsidTr="007D40A0">
        <w:tc>
          <w:tcPr>
            <w:tcW w:w="9016" w:type="dxa"/>
          </w:tcPr>
          <w:p w14:paraId="1EBD163D" w14:textId="77777777" w:rsidR="004A1F32" w:rsidRPr="00111F24" w:rsidRDefault="004A1F32" w:rsidP="007D40A0">
            <w:pPr>
              <w:pStyle w:val="NormalWeb"/>
              <w:spacing w:before="0" w:beforeAutospacing="0" w:after="0" w:afterAutospacing="0"/>
              <w:rPr>
                <w:rFonts w:ascii="Arial" w:hAnsi="Arial" w:cs="Arial"/>
                <w:color w:val="000000"/>
              </w:rPr>
            </w:pPr>
            <w:r w:rsidRPr="00111F24">
              <w:rPr>
                <w:rFonts w:ascii="Arial" w:hAnsi="Arial" w:cs="Arial"/>
                <w:color w:val="000000"/>
              </w:rPr>
              <w:t>Lawful basis: PUBLIC TASK</w:t>
            </w:r>
          </w:p>
        </w:tc>
      </w:tr>
      <w:tr w:rsidR="004A1F32" w:rsidRPr="00111F24" w14:paraId="0F2E898D" w14:textId="77777777" w:rsidTr="007D40A0">
        <w:tc>
          <w:tcPr>
            <w:tcW w:w="9016" w:type="dxa"/>
          </w:tcPr>
          <w:p w14:paraId="57450DC8" w14:textId="77777777" w:rsidR="004A1F32" w:rsidRPr="00111F24" w:rsidRDefault="004A1F32" w:rsidP="007D40A0">
            <w:pPr>
              <w:pStyle w:val="NormalWeb"/>
              <w:spacing w:before="0" w:beforeAutospacing="0" w:after="0" w:afterAutospacing="0"/>
              <w:rPr>
                <w:rFonts w:ascii="Arial" w:hAnsi="Arial" w:cs="Arial"/>
                <w:color w:val="000000"/>
              </w:rPr>
            </w:pPr>
            <w:r w:rsidRPr="00111F24">
              <w:rPr>
                <w:rFonts w:ascii="Arial" w:hAnsi="Arial" w:cs="Arial"/>
                <w:color w:val="000000"/>
              </w:rPr>
              <w:t>Special category condition: HEALTH/SOCIAL CARE</w:t>
            </w:r>
          </w:p>
        </w:tc>
      </w:tr>
    </w:tbl>
    <w:p w14:paraId="075F9C2D" w14:textId="77777777" w:rsidR="004A1F32" w:rsidRPr="00111F24" w:rsidRDefault="004A1F32" w:rsidP="004A1F32">
      <w:pPr>
        <w:pStyle w:val="NormalWeb"/>
        <w:spacing w:before="0" w:beforeAutospacing="0" w:after="0" w:afterAutospacing="0"/>
        <w:rPr>
          <w:rFonts w:ascii="Arial" w:hAnsi="Arial" w:cs="Arial"/>
          <w:color w:val="000000"/>
        </w:rPr>
      </w:pPr>
    </w:p>
    <w:p w14:paraId="79F7156E" w14:textId="4E988D14" w:rsidR="004A1F32" w:rsidRDefault="004A1F32" w:rsidP="004A1F32">
      <w:pPr>
        <w:pStyle w:val="NormalWeb"/>
        <w:spacing w:before="0" w:beforeAutospacing="0" w:after="0" w:afterAutospacing="0"/>
        <w:rPr>
          <w:rFonts w:ascii="Arial" w:hAnsi="Arial" w:cs="Arial"/>
          <w:color w:val="000000"/>
        </w:rPr>
      </w:pPr>
      <w:r w:rsidRPr="00111F24">
        <w:rPr>
          <w:rFonts w:ascii="Arial" w:hAnsi="Arial" w:cs="Arial"/>
          <w:color w:val="000000"/>
        </w:rPr>
        <w:t xml:space="preserve">Looking at examples 3 and 4 you will see the fine judgements which often need to be made as to when consent is appropriate. Example 4 is a core public task for social services (i.e. law says they should deliver such services for public protection) and consent would not be appropriate lawful basis or special category condition. Whereas the pregnancy awareness course is not a core service, and it was deemed </w:t>
      </w:r>
      <w:r w:rsidRPr="00111F24">
        <w:rPr>
          <w:rFonts w:ascii="Arial" w:hAnsi="Arial" w:cs="Arial"/>
          <w:color w:val="000000"/>
        </w:rPr>
        <w:lastRenderedPageBreak/>
        <w:t xml:space="preserve">appropriate to gain explicit consent for access to the special category data that would be used to help tutors tailor the sessions.  </w:t>
      </w:r>
    </w:p>
    <w:p w14:paraId="4D691D0B" w14:textId="77777777" w:rsidR="005C03FC" w:rsidRPr="00111F24" w:rsidRDefault="005C03FC" w:rsidP="004A1F32">
      <w:pPr>
        <w:pStyle w:val="NormalWeb"/>
        <w:spacing w:before="0" w:beforeAutospacing="0" w:after="0" w:afterAutospacing="0"/>
        <w:rPr>
          <w:rFonts w:ascii="Arial" w:hAnsi="Arial" w:cs="Arial"/>
          <w:color w:val="000000"/>
        </w:rPr>
      </w:pPr>
    </w:p>
    <w:p w14:paraId="16FE07D0" w14:textId="639C7B35" w:rsidR="004A1F32" w:rsidRDefault="004A1F32" w:rsidP="004A1F32">
      <w:pPr>
        <w:pStyle w:val="NormalWeb"/>
        <w:spacing w:before="0" w:beforeAutospacing="0" w:after="0" w:afterAutospacing="0"/>
        <w:rPr>
          <w:rFonts w:ascii="Arial" w:hAnsi="Arial" w:cs="Arial"/>
          <w:color w:val="000000"/>
        </w:rPr>
      </w:pPr>
      <w:r w:rsidRPr="00111F24">
        <w:rPr>
          <w:rFonts w:ascii="Arial" w:hAnsi="Arial" w:cs="Arial"/>
          <w:color w:val="000000"/>
        </w:rPr>
        <w:t>In complex services/project</w:t>
      </w:r>
      <w:r w:rsidR="008F76DE">
        <w:rPr>
          <w:rFonts w:ascii="Arial" w:hAnsi="Arial" w:cs="Arial"/>
          <w:color w:val="000000"/>
        </w:rPr>
        <w:t>s</w:t>
      </w:r>
      <w:r w:rsidRPr="00111F24">
        <w:rPr>
          <w:rFonts w:ascii="Arial" w:hAnsi="Arial" w:cs="Arial"/>
          <w:color w:val="000000"/>
        </w:rPr>
        <w:t xml:space="preserve"> it is possible that different lawful bases/special category conditions apply to different data. In the ‘brown bin’ example you may rely on ‘contract as lawful basis’ for most of the data but ‘consent’ as lawful basis for the optional income bracket/lifestyle data which is not strictly necessary for the performance of the contract.</w:t>
      </w:r>
    </w:p>
    <w:p w14:paraId="5D9D34FA" w14:textId="77777777" w:rsidR="00F967D5" w:rsidRPr="00111F24" w:rsidRDefault="00F967D5" w:rsidP="004A1F32">
      <w:pPr>
        <w:pStyle w:val="NormalWeb"/>
        <w:spacing w:before="0" w:beforeAutospacing="0" w:after="0" w:afterAutospacing="0"/>
        <w:rPr>
          <w:rFonts w:ascii="Arial" w:hAnsi="Arial" w:cs="Arial"/>
          <w:color w:val="000000"/>
        </w:rPr>
      </w:pPr>
    </w:p>
    <w:p w14:paraId="2A7E6AF0" w14:textId="35CEF6E1" w:rsidR="004A1F32" w:rsidRDefault="004A1F32" w:rsidP="004A1F32">
      <w:pPr>
        <w:pStyle w:val="NormalWeb"/>
        <w:spacing w:before="0" w:beforeAutospacing="0" w:after="0" w:afterAutospacing="0"/>
        <w:rPr>
          <w:rFonts w:ascii="Arial" w:hAnsi="Arial" w:cs="Arial"/>
          <w:b/>
          <w:color w:val="000000"/>
        </w:rPr>
      </w:pPr>
      <w:r w:rsidRPr="00111F24">
        <w:rPr>
          <w:rFonts w:ascii="Arial" w:hAnsi="Arial" w:cs="Arial"/>
          <w:b/>
          <w:color w:val="000000"/>
        </w:rPr>
        <w:t>Criminal offences personal data &amp; data for law enforcement</w:t>
      </w:r>
    </w:p>
    <w:p w14:paraId="5FE1E516" w14:textId="77777777" w:rsidR="00F967D5" w:rsidRPr="00111F24" w:rsidRDefault="00F967D5" w:rsidP="004A1F32">
      <w:pPr>
        <w:pStyle w:val="NormalWeb"/>
        <w:spacing w:before="0" w:beforeAutospacing="0" w:after="0" w:afterAutospacing="0"/>
        <w:rPr>
          <w:rFonts w:ascii="Arial" w:hAnsi="Arial" w:cs="Arial"/>
          <w:b/>
          <w:color w:val="000000"/>
        </w:rPr>
      </w:pPr>
    </w:p>
    <w:p w14:paraId="4ED951C1" w14:textId="5E6BEFDE" w:rsidR="004A1F32" w:rsidRDefault="004549C4" w:rsidP="00A05453">
      <w:pPr>
        <w:pStyle w:val="NormalWeb"/>
        <w:numPr>
          <w:ilvl w:val="0"/>
          <w:numId w:val="17"/>
        </w:numPr>
        <w:spacing w:before="0" w:beforeAutospacing="0" w:after="0" w:afterAutospacing="0"/>
        <w:rPr>
          <w:rFonts w:ascii="Arial" w:hAnsi="Arial" w:cs="Arial"/>
          <w:color w:val="000000"/>
        </w:rPr>
      </w:pPr>
      <w:r>
        <w:rPr>
          <w:rFonts w:ascii="Arial" w:hAnsi="Arial" w:cs="Arial"/>
          <w:color w:val="000000"/>
        </w:rPr>
        <w:t>Data protection law</w:t>
      </w:r>
      <w:r w:rsidR="004A1F32" w:rsidRPr="00111F24">
        <w:rPr>
          <w:rFonts w:ascii="Arial" w:hAnsi="Arial" w:cs="Arial"/>
          <w:color w:val="000000"/>
        </w:rPr>
        <w:t xml:space="preserve"> has provisions to ensure that data on</w:t>
      </w:r>
      <w:r w:rsidR="00F967D5">
        <w:rPr>
          <w:rFonts w:ascii="Arial" w:hAnsi="Arial" w:cs="Arial"/>
          <w:color w:val="000000"/>
        </w:rPr>
        <w:t xml:space="preserve"> </w:t>
      </w:r>
      <w:r w:rsidR="004A1F32" w:rsidRPr="00111F24">
        <w:rPr>
          <w:rFonts w:ascii="Arial" w:hAnsi="Arial" w:cs="Arial"/>
          <w:color w:val="000000"/>
        </w:rPr>
        <w:t>convictions/offences is strictly safeguarded and is only processed by those with the authority (e.g. in UK context only certain agencies including the Police/Courts can maintain formal registers etc.). If a project/service is going to be processing such data – even if it is not a formal register as such but constitutes criminal offence data such as convictions, offences and relevant security measures – then this needs to be outlined. There may</w:t>
      </w:r>
      <w:r w:rsidR="00E36CB9">
        <w:rPr>
          <w:rFonts w:ascii="Arial" w:hAnsi="Arial" w:cs="Arial"/>
          <w:color w:val="000000"/>
        </w:rPr>
        <w:t>,</w:t>
      </w:r>
      <w:r w:rsidR="004A1F32" w:rsidRPr="00111F24">
        <w:rPr>
          <w:rFonts w:ascii="Arial" w:hAnsi="Arial" w:cs="Arial"/>
          <w:color w:val="000000"/>
        </w:rPr>
        <w:t xml:space="preserve"> for example</w:t>
      </w:r>
      <w:r w:rsidR="00E36CB9">
        <w:rPr>
          <w:rFonts w:ascii="Arial" w:hAnsi="Arial" w:cs="Arial"/>
          <w:color w:val="000000"/>
        </w:rPr>
        <w:t>,</w:t>
      </w:r>
      <w:r w:rsidR="004A1F32" w:rsidRPr="00111F24">
        <w:rPr>
          <w:rFonts w:ascii="Arial" w:hAnsi="Arial" w:cs="Arial"/>
          <w:color w:val="000000"/>
        </w:rPr>
        <w:t xml:space="preserve"> be a cross-agency project which needs to use some criminal offence data for planning/analytics.</w:t>
      </w:r>
    </w:p>
    <w:p w14:paraId="159FB0F1" w14:textId="77777777" w:rsidR="00A05453" w:rsidRDefault="00A05453" w:rsidP="00A05453">
      <w:pPr>
        <w:pStyle w:val="NormalWeb"/>
        <w:spacing w:before="0" w:beforeAutospacing="0" w:after="0" w:afterAutospacing="0"/>
        <w:ind w:left="720"/>
        <w:rPr>
          <w:rFonts w:ascii="Arial" w:hAnsi="Arial" w:cs="Arial"/>
          <w:color w:val="000000"/>
        </w:rPr>
      </w:pPr>
    </w:p>
    <w:p w14:paraId="0222276B" w14:textId="6DDDF9F4" w:rsidR="004A1F32" w:rsidRDefault="004A1F32" w:rsidP="004A1F32">
      <w:pPr>
        <w:pStyle w:val="NormalWeb"/>
        <w:numPr>
          <w:ilvl w:val="0"/>
          <w:numId w:val="17"/>
        </w:numPr>
        <w:spacing w:before="0" w:beforeAutospacing="0" w:after="0" w:afterAutospacing="0"/>
        <w:rPr>
          <w:rFonts w:ascii="Arial" w:hAnsi="Arial" w:cs="Arial"/>
          <w:color w:val="000000"/>
        </w:rPr>
      </w:pPr>
      <w:r w:rsidRPr="00A05453">
        <w:rPr>
          <w:rFonts w:ascii="Arial" w:hAnsi="Arial" w:cs="Arial"/>
          <w:color w:val="000000"/>
        </w:rPr>
        <w:t>You need to state if any of the personal data processing in scope of the project/service is for the purposes of law enforcement (criminal). The Data Protection Act covers law enforcement (PART 3)</w:t>
      </w:r>
      <w:r w:rsidR="005A5FFE">
        <w:rPr>
          <w:rFonts w:ascii="Arial" w:hAnsi="Arial" w:cs="Arial"/>
          <w:color w:val="000000"/>
        </w:rPr>
        <w:t xml:space="preserve"> and </w:t>
      </w:r>
      <w:r w:rsidRPr="00A05453">
        <w:rPr>
          <w:rFonts w:ascii="Arial" w:hAnsi="Arial" w:cs="Arial"/>
          <w:color w:val="000000"/>
        </w:rPr>
        <w:t xml:space="preserve">specifies that only ‘competent </w:t>
      </w:r>
      <w:proofErr w:type="gramStart"/>
      <w:r w:rsidRPr="00A05453">
        <w:rPr>
          <w:rFonts w:ascii="Arial" w:hAnsi="Arial" w:cs="Arial"/>
          <w:color w:val="000000"/>
        </w:rPr>
        <w:t>authorities’</w:t>
      </w:r>
      <w:proofErr w:type="gramEnd"/>
      <w:r w:rsidRPr="00A05453">
        <w:rPr>
          <w:rFonts w:ascii="Arial" w:hAnsi="Arial" w:cs="Arial"/>
          <w:color w:val="000000"/>
        </w:rPr>
        <w:t xml:space="preserve"> can process personal data for such purposes. Competent authorities can include councils if</w:t>
      </w:r>
      <w:r w:rsidR="005A5FFE">
        <w:rPr>
          <w:rFonts w:ascii="Arial" w:hAnsi="Arial" w:cs="Arial"/>
          <w:color w:val="000000"/>
        </w:rPr>
        <w:t>,</w:t>
      </w:r>
      <w:r w:rsidRPr="00A05453">
        <w:rPr>
          <w:rFonts w:ascii="Arial" w:hAnsi="Arial" w:cs="Arial"/>
          <w:color w:val="000000"/>
        </w:rPr>
        <w:t xml:space="preserve"> for example</w:t>
      </w:r>
      <w:r w:rsidR="005A5FFE">
        <w:rPr>
          <w:rFonts w:ascii="Arial" w:hAnsi="Arial" w:cs="Arial"/>
          <w:color w:val="000000"/>
        </w:rPr>
        <w:t>,</w:t>
      </w:r>
      <w:r w:rsidRPr="00A05453">
        <w:rPr>
          <w:rFonts w:ascii="Arial" w:hAnsi="Arial" w:cs="Arial"/>
          <w:color w:val="000000"/>
        </w:rPr>
        <w:t xml:space="preserve"> they are responsible for investigating and prosecuting in areas such as trading standards, environmental crime, youth offending and school non-attendance etc.</w:t>
      </w:r>
    </w:p>
    <w:p w14:paraId="14E96098" w14:textId="77777777" w:rsidR="00A05453" w:rsidRDefault="00A05453" w:rsidP="00A05453">
      <w:pPr>
        <w:pStyle w:val="NormalWeb"/>
        <w:spacing w:before="0" w:beforeAutospacing="0" w:after="0" w:afterAutospacing="0"/>
        <w:ind w:left="720"/>
        <w:rPr>
          <w:rFonts w:ascii="Arial" w:hAnsi="Arial" w:cs="Arial"/>
          <w:color w:val="000000"/>
        </w:rPr>
      </w:pPr>
    </w:p>
    <w:p w14:paraId="734EE03A" w14:textId="33453556" w:rsidR="004A1F32" w:rsidRPr="00A05453" w:rsidRDefault="004A1F32" w:rsidP="004A1F32">
      <w:pPr>
        <w:pStyle w:val="NormalWeb"/>
        <w:numPr>
          <w:ilvl w:val="0"/>
          <w:numId w:val="17"/>
        </w:numPr>
        <w:spacing w:before="0" w:beforeAutospacing="0" w:after="0" w:afterAutospacing="0"/>
        <w:rPr>
          <w:rFonts w:ascii="Arial" w:hAnsi="Arial" w:cs="Arial"/>
          <w:color w:val="000000"/>
        </w:rPr>
      </w:pPr>
      <w:r w:rsidRPr="00A05453">
        <w:rPr>
          <w:rFonts w:ascii="Arial" w:hAnsi="Arial" w:cs="Arial"/>
          <w:color w:val="000000"/>
        </w:rPr>
        <w:t>It should be noted that personal data which is used in civil court cases is not within scope of ‘law enforcement’ purpose as defined by the GDPR/Data Protection Act.</w:t>
      </w:r>
    </w:p>
    <w:p w14:paraId="011BFE76" w14:textId="77777777" w:rsidR="000A50A9" w:rsidRPr="00111F24" w:rsidRDefault="000A50A9" w:rsidP="004A1F32">
      <w:pPr>
        <w:pStyle w:val="NormalWeb"/>
        <w:spacing w:before="0" w:beforeAutospacing="0" w:after="0" w:afterAutospacing="0"/>
        <w:rPr>
          <w:rFonts w:ascii="Arial" w:hAnsi="Arial" w:cs="Arial"/>
          <w:color w:val="000000"/>
        </w:rPr>
      </w:pPr>
    </w:p>
    <w:p w14:paraId="33FCFF4B" w14:textId="664BFC57" w:rsidR="004A1F32" w:rsidRPr="00111F24" w:rsidRDefault="004A1F32" w:rsidP="004A1F32">
      <w:pPr>
        <w:pStyle w:val="NormalWeb"/>
        <w:spacing w:before="0" w:beforeAutospacing="0" w:after="0" w:afterAutospacing="0"/>
        <w:rPr>
          <w:rFonts w:ascii="Arial" w:hAnsi="Arial" w:cs="Arial"/>
          <w:b/>
          <w:color w:val="000000"/>
        </w:rPr>
      </w:pPr>
      <w:r w:rsidRPr="00111F24">
        <w:rPr>
          <w:rFonts w:ascii="Arial" w:hAnsi="Arial" w:cs="Arial"/>
          <w:b/>
          <w:color w:val="000000"/>
        </w:rPr>
        <w:t>Managing consent</w:t>
      </w:r>
    </w:p>
    <w:p w14:paraId="09CE27C7" w14:textId="77777777" w:rsidR="00310DF6" w:rsidRDefault="00310DF6" w:rsidP="004A1F32">
      <w:pPr>
        <w:pStyle w:val="NormalWeb"/>
        <w:spacing w:before="0" w:beforeAutospacing="0" w:after="0" w:afterAutospacing="0"/>
        <w:rPr>
          <w:rFonts w:ascii="Arial" w:hAnsi="Arial" w:cs="Arial"/>
          <w:color w:val="000000"/>
        </w:rPr>
      </w:pPr>
    </w:p>
    <w:p w14:paraId="0BDAB225" w14:textId="3AE5E1E6" w:rsidR="004A1F32" w:rsidRDefault="004A1F32" w:rsidP="00310DF6">
      <w:pPr>
        <w:pStyle w:val="NormalWeb"/>
        <w:numPr>
          <w:ilvl w:val="0"/>
          <w:numId w:val="18"/>
        </w:numPr>
        <w:spacing w:before="0" w:beforeAutospacing="0" w:after="0" w:afterAutospacing="0"/>
        <w:rPr>
          <w:rFonts w:ascii="Arial" w:hAnsi="Arial" w:cs="Arial"/>
          <w:color w:val="000000"/>
        </w:rPr>
      </w:pPr>
      <w:r w:rsidRPr="00111F24">
        <w:rPr>
          <w:rFonts w:ascii="Arial" w:hAnsi="Arial" w:cs="Arial"/>
          <w:color w:val="000000"/>
        </w:rPr>
        <w:t>There are a series of questions in the DPIA on this area</w:t>
      </w:r>
      <w:r w:rsidR="00365CE9">
        <w:rPr>
          <w:rFonts w:ascii="Arial" w:hAnsi="Arial" w:cs="Arial"/>
          <w:color w:val="000000"/>
        </w:rPr>
        <w:t>.</w:t>
      </w:r>
      <w:r w:rsidRPr="00111F24">
        <w:rPr>
          <w:rFonts w:ascii="Arial" w:hAnsi="Arial" w:cs="Arial"/>
          <w:color w:val="000000"/>
        </w:rPr>
        <w:t xml:space="preserve"> </w:t>
      </w:r>
      <w:r w:rsidR="00365CE9">
        <w:rPr>
          <w:rFonts w:ascii="Arial" w:hAnsi="Arial" w:cs="Arial"/>
          <w:color w:val="000000"/>
        </w:rPr>
        <w:t>I</w:t>
      </w:r>
      <w:r w:rsidRPr="00111F24">
        <w:rPr>
          <w:rFonts w:ascii="Arial" w:hAnsi="Arial" w:cs="Arial"/>
          <w:color w:val="000000"/>
        </w:rPr>
        <w:t>ndicating</w:t>
      </w:r>
      <w:r w:rsidR="00365CE9">
        <w:rPr>
          <w:rFonts w:ascii="Arial" w:hAnsi="Arial" w:cs="Arial"/>
          <w:color w:val="000000"/>
        </w:rPr>
        <w:t xml:space="preserve"> that </w:t>
      </w:r>
      <w:r w:rsidRPr="00111F24">
        <w:rPr>
          <w:rFonts w:ascii="Arial" w:hAnsi="Arial" w:cs="Arial"/>
          <w:color w:val="000000"/>
        </w:rPr>
        <w:t>you intend to rely on consent as a lawful basis and/or special category condition is only the start of the process. Getting it to work can be more problematic.</w:t>
      </w:r>
    </w:p>
    <w:p w14:paraId="12385491" w14:textId="77777777" w:rsidR="00310DF6" w:rsidRDefault="00310DF6" w:rsidP="00310DF6">
      <w:pPr>
        <w:pStyle w:val="NormalWeb"/>
        <w:spacing w:before="0" w:beforeAutospacing="0" w:after="0" w:afterAutospacing="0"/>
        <w:ind w:left="720"/>
        <w:rPr>
          <w:rFonts w:ascii="Arial" w:hAnsi="Arial" w:cs="Arial"/>
          <w:color w:val="000000"/>
        </w:rPr>
      </w:pPr>
    </w:p>
    <w:p w14:paraId="5FF0FD5F" w14:textId="4AA6C40E" w:rsidR="004A1F32" w:rsidRDefault="004A1F32" w:rsidP="004A1F32">
      <w:pPr>
        <w:pStyle w:val="NormalWeb"/>
        <w:numPr>
          <w:ilvl w:val="0"/>
          <w:numId w:val="18"/>
        </w:numPr>
        <w:spacing w:before="0" w:beforeAutospacing="0" w:after="0" w:afterAutospacing="0"/>
        <w:rPr>
          <w:rFonts w:ascii="Arial" w:hAnsi="Arial" w:cs="Arial"/>
          <w:color w:val="000000"/>
        </w:rPr>
      </w:pPr>
      <w:r w:rsidRPr="00310DF6">
        <w:rPr>
          <w:rFonts w:ascii="Arial" w:hAnsi="Arial" w:cs="Arial"/>
          <w:color w:val="000000"/>
        </w:rPr>
        <w:t>You should indicate how you intend to obtain the consent. There are many ways of doing this ranging from online forms (which must be affirmative tick box rather than assuming consent by not clicking), verbal discussion or traditional paper forms. You need to choose the most appropriate and practical method for the purpose and find a way of recording this. For example, if you aim to gain consent from older people 75+ then relying solely on an online form may not be the best approach.</w:t>
      </w:r>
    </w:p>
    <w:p w14:paraId="7ABC1E3B" w14:textId="77777777" w:rsidR="00310DF6" w:rsidRDefault="00310DF6" w:rsidP="00310DF6">
      <w:pPr>
        <w:pStyle w:val="NormalWeb"/>
        <w:spacing w:before="0" w:beforeAutospacing="0" w:after="0" w:afterAutospacing="0"/>
        <w:ind w:left="720"/>
        <w:rPr>
          <w:rFonts w:ascii="Arial" w:hAnsi="Arial" w:cs="Arial"/>
          <w:color w:val="000000"/>
        </w:rPr>
      </w:pPr>
    </w:p>
    <w:p w14:paraId="3B350DBD" w14:textId="288BC349" w:rsidR="004A1F32" w:rsidRPr="00310DF6" w:rsidRDefault="004A1F32" w:rsidP="004A1F32">
      <w:pPr>
        <w:pStyle w:val="NormalWeb"/>
        <w:numPr>
          <w:ilvl w:val="0"/>
          <w:numId w:val="18"/>
        </w:numPr>
        <w:spacing w:before="0" w:beforeAutospacing="0" w:after="0" w:afterAutospacing="0"/>
        <w:rPr>
          <w:rFonts w:ascii="Arial" w:hAnsi="Arial" w:cs="Arial"/>
          <w:color w:val="000000"/>
        </w:rPr>
      </w:pPr>
      <w:r w:rsidRPr="00310DF6">
        <w:rPr>
          <w:rFonts w:ascii="Arial" w:hAnsi="Arial" w:cs="Arial"/>
          <w:color w:val="000000"/>
        </w:rPr>
        <w:t xml:space="preserve">Where consent is relied upon, you need to also be able to respect where a person has withdrawn their consent for any reason. You need to consider at DPIA stage the process for acting upon a withdrawal of consent (e.g. if you receive a phone call or email from the customer), how quickly you can do this, </w:t>
      </w:r>
      <w:r w:rsidRPr="00310DF6">
        <w:rPr>
          <w:rFonts w:ascii="Arial" w:hAnsi="Arial" w:cs="Arial"/>
          <w:color w:val="000000"/>
        </w:rPr>
        <w:lastRenderedPageBreak/>
        <w:t>and what data management and quality issues may arise (e.g. what if a much higher proportion of your customer base decide to withdraw their consent than you expected due to adverse media coverage etc.?).</w:t>
      </w:r>
    </w:p>
    <w:p w14:paraId="14CF83C4" w14:textId="77777777" w:rsidR="00A05453" w:rsidRPr="00111F24" w:rsidRDefault="00A05453" w:rsidP="004A1F32">
      <w:pPr>
        <w:pStyle w:val="NormalWeb"/>
        <w:spacing w:before="0" w:beforeAutospacing="0" w:after="0" w:afterAutospacing="0"/>
        <w:rPr>
          <w:rFonts w:ascii="Arial" w:hAnsi="Arial" w:cs="Arial"/>
          <w:color w:val="000000"/>
        </w:rPr>
      </w:pPr>
    </w:p>
    <w:p w14:paraId="7D5CD888" w14:textId="0FE9DBEE" w:rsidR="004A1F32" w:rsidRDefault="00A05453" w:rsidP="004A1F32">
      <w:pPr>
        <w:pStyle w:val="NormalWeb"/>
        <w:spacing w:before="0" w:beforeAutospacing="0" w:after="0" w:afterAutospacing="0"/>
        <w:rPr>
          <w:rFonts w:ascii="Arial" w:hAnsi="Arial" w:cs="Arial"/>
          <w:b/>
          <w:color w:val="000000"/>
        </w:rPr>
      </w:pPr>
      <w:r>
        <w:rPr>
          <w:rFonts w:ascii="Arial" w:hAnsi="Arial" w:cs="Arial"/>
          <w:b/>
          <w:color w:val="000000"/>
        </w:rPr>
        <w:t>S</w:t>
      </w:r>
      <w:r w:rsidR="004549C4">
        <w:rPr>
          <w:rFonts w:ascii="Arial" w:hAnsi="Arial" w:cs="Arial"/>
          <w:b/>
          <w:color w:val="000000"/>
        </w:rPr>
        <w:t>ECTION</w:t>
      </w:r>
      <w:r>
        <w:rPr>
          <w:rFonts w:ascii="Arial" w:hAnsi="Arial" w:cs="Arial"/>
          <w:b/>
          <w:color w:val="000000"/>
        </w:rPr>
        <w:t xml:space="preserve"> 5 - </w:t>
      </w:r>
      <w:r w:rsidR="004A1F32" w:rsidRPr="00111F24">
        <w:rPr>
          <w:rFonts w:ascii="Arial" w:hAnsi="Arial" w:cs="Arial"/>
          <w:b/>
          <w:color w:val="000000"/>
        </w:rPr>
        <w:t>Fairness and proportionality</w:t>
      </w:r>
    </w:p>
    <w:p w14:paraId="65F4EF3E" w14:textId="77777777" w:rsidR="00A569DB" w:rsidRPr="00111F24" w:rsidRDefault="00A569DB" w:rsidP="004A1F32">
      <w:pPr>
        <w:pStyle w:val="NormalWeb"/>
        <w:spacing w:before="0" w:beforeAutospacing="0" w:after="0" w:afterAutospacing="0"/>
        <w:rPr>
          <w:rFonts w:ascii="Arial" w:hAnsi="Arial" w:cs="Arial"/>
          <w:b/>
          <w:color w:val="000000"/>
        </w:rPr>
      </w:pPr>
    </w:p>
    <w:p w14:paraId="726D0AC3" w14:textId="15C03D0B" w:rsidR="004E153C" w:rsidRDefault="004A1F32" w:rsidP="00DC0A36">
      <w:pPr>
        <w:pStyle w:val="NormalWeb"/>
        <w:numPr>
          <w:ilvl w:val="0"/>
          <w:numId w:val="36"/>
        </w:numPr>
        <w:spacing w:before="0" w:beforeAutospacing="0" w:after="0" w:afterAutospacing="0"/>
        <w:rPr>
          <w:rFonts w:ascii="Arial" w:hAnsi="Arial" w:cs="Arial"/>
          <w:color w:val="000000"/>
        </w:rPr>
      </w:pPr>
      <w:r w:rsidRPr="00111F24">
        <w:rPr>
          <w:rFonts w:ascii="Arial" w:hAnsi="Arial" w:cs="Arial"/>
          <w:color w:val="000000"/>
        </w:rPr>
        <w:t xml:space="preserve">As well as being lawful, the organisation also needs to be fair. For any new project/service you need to indicate whether the personal data processing would affect the overall organisational entry on the register of data controllers administered by the ICO. Then you need to consider what information in the form of privacy and fair processing notices are already in use and whether they need to be adapted in the light of the new processing. </w:t>
      </w:r>
    </w:p>
    <w:p w14:paraId="0AF293C9" w14:textId="77777777" w:rsidR="00DC0A36" w:rsidRDefault="00DC0A36" w:rsidP="00DC0A36">
      <w:pPr>
        <w:pStyle w:val="NormalWeb"/>
        <w:spacing w:before="0" w:beforeAutospacing="0" w:after="0" w:afterAutospacing="0"/>
        <w:ind w:left="1514"/>
        <w:rPr>
          <w:rFonts w:ascii="Arial" w:hAnsi="Arial" w:cs="Arial"/>
          <w:color w:val="000000"/>
        </w:rPr>
      </w:pPr>
    </w:p>
    <w:p w14:paraId="6DEBE78B" w14:textId="4C169E7C" w:rsidR="004A1F32" w:rsidRDefault="004A1F32" w:rsidP="00DC0A36">
      <w:pPr>
        <w:pStyle w:val="NormalWeb"/>
        <w:numPr>
          <w:ilvl w:val="0"/>
          <w:numId w:val="36"/>
        </w:numPr>
        <w:spacing w:before="0" w:beforeAutospacing="0" w:after="0" w:afterAutospacing="0"/>
        <w:rPr>
          <w:rFonts w:ascii="Arial" w:hAnsi="Arial" w:cs="Arial"/>
          <w:color w:val="000000"/>
        </w:rPr>
      </w:pPr>
      <w:r w:rsidRPr="00DC0A36">
        <w:rPr>
          <w:rFonts w:ascii="Arial" w:hAnsi="Arial" w:cs="Arial"/>
          <w:color w:val="000000"/>
        </w:rPr>
        <w:t>If for example you have an enrolment form for a service and it has been in use for some years</w:t>
      </w:r>
      <w:r w:rsidR="003F1D82">
        <w:rPr>
          <w:rFonts w:ascii="Arial" w:hAnsi="Arial" w:cs="Arial"/>
          <w:color w:val="000000"/>
        </w:rPr>
        <w:t>,</w:t>
      </w:r>
      <w:r w:rsidRPr="00DC0A36">
        <w:rPr>
          <w:rFonts w:ascii="Arial" w:hAnsi="Arial" w:cs="Arial"/>
          <w:color w:val="000000"/>
        </w:rPr>
        <w:t xml:space="preserve"> does it adequately cover the types of processing and data sharing that is being planned? Is there a need for any wider awareness bulletins or articles online? </w:t>
      </w:r>
    </w:p>
    <w:p w14:paraId="5B116199" w14:textId="77777777" w:rsidR="00DC0A36" w:rsidRDefault="00DC0A36" w:rsidP="00DC0A36">
      <w:pPr>
        <w:pStyle w:val="NormalWeb"/>
        <w:spacing w:before="0" w:beforeAutospacing="0" w:after="0" w:afterAutospacing="0"/>
        <w:ind w:left="1514"/>
        <w:rPr>
          <w:rFonts w:ascii="Arial" w:hAnsi="Arial" w:cs="Arial"/>
          <w:color w:val="000000"/>
        </w:rPr>
      </w:pPr>
    </w:p>
    <w:p w14:paraId="0E1EAF5E" w14:textId="12E1C76B" w:rsidR="004A1F32" w:rsidRDefault="004A1F32" w:rsidP="00DC0A36">
      <w:pPr>
        <w:pStyle w:val="NormalWeb"/>
        <w:numPr>
          <w:ilvl w:val="0"/>
          <w:numId w:val="36"/>
        </w:numPr>
        <w:spacing w:before="0" w:beforeAutospacing="0" w:after="0" w:afterAutospacing="0"/>
        <w:rPr>
          <w:rFonts w:ascii="Arial" w:hAnsi="Arial" w:cs="Arial"/>
          <w:color w:val="000000"/>
        </w:rPr>
      </w:pPr>
      <w:r w:rsidRPr="00DC0A36">
        <w:rPr>
          <w:rFonts w:ascii="Arial" w:hAnsi="Arial" w:cs="Arial"/>
          <w:color w:val="000000"/>
        </w:rPr>
        <w:t>If you have carried out any kind of consultation in advance of a new service/project that includes comment on the personal data processing, then this should be described. This might be internal council consultation, focus groups, user groups, professional group consultation (e.g. GPs or Royal Colleges).</w:t>
      </w:r>
    </w:p>
    <w:p w14:paraId="7AAC13C8" w14:textId="77777777" w:rsidR="00DB118F" w:rsidRDefault="00DB118F" w:rsidP="00DB118F">
      <w:pPr>
        <w:pStyle w:val="NormalWeb"/>
        <w:spacing w:before="0" w:beforeAutospacing="0" w:after="0" w:afterAutospacing="0"/>
        <w:ind w:left="1077"/>
        <w:rPr>
          <w:rFonts w:ascii="Arial" w:hAnsi="Arial" w:cs="Arial"/>
          <w:color w:val="000000"/>
        </w:rPr>
      </w:pPr>
    </w:p>
    <w:p w14:paraId="4A3A63F8" w14:textId="19A7043E" w:rsidR="004A1F32" w:rsidRPr="00DB118F" w:rsidRDefault="004A1F32" w:rsidP="00DB118F">
      <w:pPr>
        <w:pStyle w:val="NormalWeb"/>
        <w:numPr>
          <w:ilvl w:val="0"/>
          <w:numId w:val="36"/>
        </w:numPr>
        <w:spacing w:before="0" w:beforeAutospacing="0" w:after="0" w:afterAutospacing="0"/>
        <w:rPr>
          <w:rFonts w:ascii="Arial" w:hAnsi="Arial" w:cs="Arial"/>
          <w:color w:val="000000"/>
        </w:rPr>
      </w:pPr>
      <w:r w:rsidRPr="00DB118F">
        <w:rPr>
          <w:rFonts w:ascii="Arial" w:hAnsi="Arial" w:cs="Arial"/>
          <w:color w:val="000000"/>
        </w:rPr>
        <w:t>You also need to consider how you will be able to act upon data subject’s rights, such as the right to access copies of</w:t>
      </w:r>
      <w:r w:rsidR="00BB0B8E">
        <w:rPr>
          <w:rFonts w:ascii="Arial" w:hAnsi="Arial" w:cs="Arial"/>
          <w:color w:val="000000"/>
        </w:rPr>
        <w:t xml:space="preserve"> their</w:t>
      </w:r>
      <w:r w:rsidRPr="00DB118F">
        <w:rPr>
          <w:rFonts w:ascii="Arial" w:hAnsi="Arial" w:cs="Arial"/>
          <w:color w:val="000000"/>
        </w:rPr>
        <w:t xml:space="preserve"> own data. If for example there is a complex data sharing project with several partner organisation</w:t>
      </w:r>
      <w:r w:rsidR="00BB0B8E">
        <w:rPr>
          <w:rFonts w:ascii="Arial" w:hAnsi="Arial" w:cs="Arial"/>
          <w:color w:val="000000"/>
        </w:rPr>
        <w:t>s</w:t>
      </w:r>
      <w:r w:rsidRPr="00DB118F">
        <w:rPr>
          <w:rFonts w:ascii="Arial" w:hAnsi="Arial" w:cs="Arial"/>
          <w:color w:val="000000"/>
        </w:rPr>
        <w:t>, then who will provide the data if the subject requests it? And even if the consent route has not been used to make the processing lawful, how do you intend to manage an</w:t>
      </w:r>
      <w:r w:rsidR="00BB0B8E">
        <w:rPr>
          <w:rFonts w:ascii="Arial" w:hAnsi="Arial" w:cs="Arial"/>
          <w:color w:val="000000"/>
        </w:rPr>
        <w:t>y</w:t>
      </w:r>
      <w:r w:rsidRPr="00DB118F">
        <w:rPr>
          <w:rFonts w:ascii="Arial" w:hAnsi="Arial" w:cs="Arial"/>
          <w:color w:val="000000"/>
        </w:rPr>
        <w:t xml:space="preserve"> objections</w:t>
      </w:r>
      <w:r w:rsidR="004E153C" w:rsidRPr="00DB118F">
        <w:rPr>
          <w:rFonts w:ascii="Arial" w:hAnsi="Arial" w:cs="Arial"/>
          <w:color w:val="000000"/>
        </w:rPr>
        <w:t xml:space="preserve"> </w:t>
      </w:r>
      <w:r w:rsidRPr="00DB118F">
        <w:rPr>
          <w:rFonts w:ascii="Arial" w:hAnsi="Arial" w:cs="Arial"/>
          <w:color w:val="000000"/>
        </w:rPr>
        <w:t>you may receive (e.g. “I do not want my data shared outside of x”)</w:t>
      </w:r>
      <w:r w:rsidR="00BB0B8E">
        <w:rPr>
          <w:rFonts w:ascii="Arial" w:hAnsi="Arial" w:cs="Arial"/>
          <w:color w:val="000000"/>
        </w:rPr>
        <w:t>?</w:t>
      </w:r>
    </w:p>
    <w:p w14:paraId="5907EAB4" w14:textId="77777777" w:rsidR="00F704B0" w:rsidRPr="004E153C" w:rsidRDefault="00F704B0" w:rsidP="00F704B0">
      <w:pPr>
        <w:pStyle w:val="NormalWeb"/>
        <w:spacing w:before="0" w:beforeAutospacing="0" w:after="0" w:afterAutospacing="0"/>
        <w:ind w:left="720"/>
        <w:rPr>
          <w:rFonts w:ascii="Arial" w:hAnsi="Arial" w:cs="Arial"/>
          <w:color w:val="000000"/>
        </w:rPr>
      </w:pPr>
    </w:p>
    <w:p w14:paraId="3D19EB20" w14:textId="4410524B" w:rsidR="004A1F32" w:rsidRDefault="00F704B0" w:rsidP="004A1F32">
      <w:pPr>
        <w:pStyle w:val="NormalWeb"/>
        <w:spacing w:before="0" w:beforeAutospacing="0" w:after="0" w:afterAutospacing="0"/>
        <w:rPr>
          <w:rFonts w:ascii="Arial" w:hAnsi="Arial" w:cs="Arial"/>
          <w:b/>
          <w:color w:val="000000"/>
        </w:rPr>
      </w:pPr>
      <w:r>
        <w:rPr>
          <w:rFonts w:ascii="Arial" w:hAnsi="Arial" w:cs="Arial"/>
          <w:b/>
          <w:color w:val="000000"/>
        </w:rPr>
        <w:t>S</w:t>
      </w:r>
      <w:r w:rsidR="004549C4">
        <w:rPr>
          <w:rFonts w:ascii="Arial" w:hAnsi="Arial" w:cs="Arial"/>
          <w:b/>
          <w:color w:val="000000"/>
        </w:rPr>
        <w:t>ECTION</w:t>
      </w:r>
      <w:r>
        <w:rPr>
          <w:rFonts w:ascii="Arial" w:hAnsi="Arial" w:cs="Arial"/>
          <w:b/>
          <w:color w:val="000000"/>
        </w:rPr>
        <w:t xml:space="preserve"> 6 - </w:t>
      </w:r>
      <w:r w:rsidR="004A1F32" w:rsidRPr="00111F24">
        <w:rPr>
          <w:rFonts w:ascii="Arial" w:hAnsi="Arial" w:cs="Arial"/>
          <w:b/>
          <w:color w:val="000000"/>
        </w:rPr>
        <w:t xml:space="preserve">People </w:t>
      </w:r>
      <w:r>
        <w:rPr>
          <w:rFonts w:ascii="Arial" w:hAnsi="Arial" w:cs="Arial"/>
          <w:b/>
          <w:color w:val="000000"/>
        </w:rPr>
        <w:t>and</w:t>
      </w:r>
      <w:r w:rsidR="004A1F32" w:rsidRPr="00111F24">
        <w:rPr>
          <w:rFonts w:ascii="Arial" w:hAnsi="Arial" w:cs="Arial"/>
          <w:b/>
          <w:color w:val="000000"/>
        </w:rPr>
        <w:t xml:space="preserve"> processes</w:t>
      </w:r>
    </w:p>
    <w:p w14:paraId="40E33774" w14:textId="77777777" w:rsidR="00F704B0" w:rsidRPr="00111F24" w:rsidRDefault="00F704B0" w:rsidP="004A1F32">
      <w:pPr>
        <w:pStyle w:val="NormalWeb"/>
        <w:spacing w:before="0" w:beforeAutospacing="0" w:after="0" w:afterAutospacing="0"/>
        <w:rPr>
          <w:rFonts w:ascii="Arial" w:hAnsi="Arial" w:cs="Arial"/>
          <w:b/>
          <w:color w:val="000000"/>
        </w:rPr>
      </w:pPr>
    </w:p>
    <w:p w14:paraId="265DEFC9" w14:textId="70E98DCD" w:rsidR="004A1F32" w:rsidRDefault="004A1F32" w:rsidP="00F704B0">
      <w:pPr>
        <w:pStyle w:val="NormalWeb"/>
        <w:numPr>
          <w:ilvl w:val="0"/>
          <w:numId w:val="20"/>
        </w:numPr>
        <w:spacing w:before="0" w:beforeAutospacing="0" w:after="0" w:afterAutospacing="0"/>
        <w:rPr>
          <w:rFonts w:ascii="Arial" w:hAnsi="Arial" w:cs="Arial"/>
          <w:color w:val="000000"/>
        </w:rPr>
      </w:pPr>
      <w:r w:rsidRPr="00111F24">
        <w:rPr>
          <w:rFonts w:ascii="Arial" w:hAnsi="Arial" w:cs="Arial"/>
          <w:color w:val="000000"/>
        </w:rPr>
        <w:t xml:space="preserve">You need to outline which people/teams are going to be processing the personal data in scope of the project/service. In some cases, this may be named individuals, in others a relatively wide-ranging team. If any access controls are in place (e.g. IT controls such as ‘role based’ access or physical separation such as </w:t>
      </w:r>
      <w:r w:rsidR="004F7AEC">
        <w:rPr>
          <w:rFonts w:ascii="Arial" w:hAnsi="Arial" w:cs="Arial"/>
          <w:color w:val="000000"/>
        </w:rPr>
        <w:t xml:space="preserve">a </w:t>
      </w:r>
      <w:r w:rsidRPr="00111F24">
        <w:rPr>
          <w:rFonts w:ascii="Arial" w:hAnsi="Arial" w:cs="Arial"/>
          <w:color w:val="000000"/>
        </w:rPr>
        <w:t xml:space="preserve">specific secure building) these should be outlined along with the means by which the team accesses the data (e.g. from a laptop </w:t>
      </w:r>
      <w:r w:rsidR="00F9799A">
        <w:rPr>
          <w:rFonts w:ascii="Arial" w:hAnsi="Arial" w:cs="Arial"/>
          <w:color w:val="000000"/>
        </w:rPr>
        <w:t>connected to</w:t>
      </w:r>
      <w:r w:rsidR="00F9799A" w:rsidRPr="00111F24">
        <w:rPr>
          <w:rFonts w:ascii="Arial" w:hAnsi="Arial" w:cs="Arial"/>
          <w:color w:val="000000"/>
        </w:rPr>
        <w:t xml:space="preserve"> </w:t>
      </w:r>
      <w:r w:rsidRPr="00111F24">
        <w:rPr>
          <w:rFonts w:ascii="Arial" w:hAnsi="Arial" w:cs="Arial"/>
          <w:color w:val="000000"/>
        </w:rPr>
        <w:t>the council network, or from any computer using an online login). You can cite any specific council policies that will be adhered to (e.g. council policy on pre-employment screening and or Disclosure and Barring checks for the staff who will be processing the personal data) as well as training plans.</w:t>
      </w:r>
    </w:p>
    <w:p w14:paraId="52818798" w14:textId="77777777" w:rsidR="00F704B0" w:rsidRDefault="00F704B0" w:rsidP="00F704B0">
      <w:pPr>
        <w:pStyle w:val="NormalWeb"/>
        <w:spacing w:before="0" w:beforeAutospacing="0" w:after="0" w:afterAutospacing="0"/>
        <w:ind w:left="720"/>
        <w:rPr>
          <w:rFonts w:ascii="Arial" w:hAnsi="Arial" w:cs="Arial"/>
          <w:color w:val="000000"/>
        </w:rPr>
      </w:pPr>
    </w:p>
    <w:p w14:paraId="7CC4BE98" w14:textId="4766A504" w:rsidR="004A1F32" w:rsidRPr="00F704B0" w:rsidRDefault="004A1F32" w:rsidP="004A1F32">
      <w:pPr>
        <w:pStyle w:val="NormalWeb"/>
        <w:numPr>
          <w:ilvl w:val="0"/>
          <w:numId w:val="20"/>
        </w:numPr>
        <w:spacing w:before="0" w:beforeAutospacing="0" w:after="0" w:afterAutospacing="0"/>
        <w:rPr>
          <w:rFonts w:ascii="Arial" w:hAnsi="Arial" w:cs="Arial"/>
          <w:color w:val="000000"/>
        </w:rPr>
      </w:pPr>
      <w:r w:rsidRPr="00F704B0">
        <w:rPr>
          <w:rFonts w:ascii="Arial" w:hAnsi="Arial" w:cs="Arial"/>
        </w:rPr>
        <w:t xml:space="preserve">If the data is going to be shared outside your organisation (e.g. with another council or NHS body) then you need to outline this along with whether it will be identifiable personal data at the point when it leaves the organisation. For complex flows of information, it can be helpful to append a chart if you have one. You should cite where there is an information sharing agreement in place with those external bodies and who will the data controller once data is shared (i.e. once council x shares with council y, is council x still being a data controller or are both </w:t>
      </w:r>
      <w:r w:rsidRPr="00F704B0">
        <w:rPr>
          <w:rFonts w:ascii="Arial" w:hAnsi="Arial" w:cs="Arial"/>
        </w:rPr>
        <w:lastRenderedPageBreak/>
        <w:t>councils in reality determining the purpose and the means by which the personal data is processed?).</w:t>
      </w:r>
    </w:p>
    <w:p w14:paraId="47D56CFC" w14:textId="77777777" w:rsidR="00F704B0" w:rsidRPr="00F704B0" w:rsidRDefault="00F704B0" w:rsidP="00F704B0">
      <w:pPr>
        <w:pStyle w:val="NormalWeb"/>
        <w:spacing w:before="0" w:beforeAutospacing="0" w:after="0" w:afterAutospacing="0"/>
        <w:ind w:left="720"/>
        <w:rPr>
          <w:rFonts w:ascii="Arial" w:hAnsi="Arial" w:cs="Arial"/>
          <w:color w:val="000000"/>
        </w:rPr>
      </w:pPr>
    </w:p>
    <w:p w14:paraId="22D0BF7D" w14:textId="4AF1EBE8" w:rsidR="004A1F32" w:rsidRPr="000D00DA" w:rsidRDefault="004A1F32" w:rsidP="004A1F32">
      <w:pPr>
        <w:pStyle w:val="NormalWeb"/>
        <w:numPr>
          <w:ilvl w:val="0"/>
          <w:numId w:val="20"/>
        </w:numPr>
        <w:spacing w:before="0" w:beforeAutospacing="0" w:after="0" w:afterAutospacing="0"/>
        <w:rPr>
          <w:rFonts w:ascii="Arial" w:hAnsi="Arial" w:cs="Arial"/>
          <w:color w:val="000000"/>
        </w:rPr>
      </w:pPr>
      <w:r w:rsidRPr="00F704B0">
        <w:rPr>
          <w:rFonts w:ascii="Arial" w:hAnsi="Arial" w:cs="Arial"/>
        </w:rPr>
        <w:t xml:space="preserve">Often when data is shared it is then linked or matched or </w:t>
      </w:r>
      <w:r w:rsidR="004E21EC">
        <w:rPr>
          <w:rFonts w:ascii="Arial" w:hAnsi="Arial" w:cs="Arial"/>
        </w:rPr>
        <w:t>combined</w:t>
      </w:r>
      <w:r w:rsidR="004E21EC" w:rsidRPr="00F704B0">
        <w:rPr>
          <w:rFonts w:ascii="Arial" w:hAnsi="Arial" w:cs="Arial"/>
        </w:rPr>
        <w:t xml:space="preserve"> </w:t>
      </w:r>
      <w:r w:rsidRPr="00F704B0">
        <w:rPr>
          <w:rFonts w:ascii="Arial" w:hAnsi="Arial" w:cs="Arial"/>
        </w:rPr>
        <w:t>with other data from the external organisation. You need to describe such activity and state how far this then gives a deeper or broader picture of individuals. In the public sector – and not just among the commercial technology companies- the analysis of data sets from across different organisations or so-called ‘big data’ is becoming an ever more powerful tool for service planning, bench-marking, audit and patient safety programmes. The task of the DPIA is to ensure that councils and other public bodies are lawful, proportionate and fair at all times.</w:t>
      </w:r>
    </w:p>
    <w:p w14:paraId="25F633B9" w14:textId="77777777" w:rsidR="000D00DA" w:rsidRDefault="000D00DA" w:rsidP="004A1F32">
      <w:pPr>
        <w:spacing w:after="0" w:line="240" w:lineRule="auto"/>
        <w:rPr>
          <w:rFonts w:ascii="Arial" w:hAnsi="Arial" w:cs="Arial"/>
          <w:b/>
          <w:sz w:val="24"/>
          <w:szCs w:val="24"/>
        </w:rPr>
      </w:pPr>
    </w:p>
    <w:p w14:paraId="3D4ED209" w14:textId="760E02A5" w:rsidR="004A1F32" w:rsidRDefault="000D00DA" w:rsidP="004A1F32">
      <w:pPr>
        <w:spacing w:after="0" w:line="240" w:lineRule="auto"/>
        <w:rPr>
          <w:rFonts w:ascii="Arial" w:hAnsi="Arial" w:cs="Arial"/>
          <w:b/>
          <w:sz w:val="24"/>
          <w:szCs w:val="24"/>
        </w:rPr>
      </w:pPr>
      <w:r>
        <w:rPr>
          <w:rFonts w:ascii="Arial" w:hAnsi="Arial" w:cs="Arial"/>
          <w:b/>
          <w:sz w:val="24"/>
          <w:szCs w:val="24"/>
        </w:rPr>
        <w:t>S</w:t>
      </w:r>
      <w:r w:rsidR="004549C4">
        <w:rPr>
          <w:rFonts w:ascii="Arial" w:hAnsi="Arial" w:cs="Arial"/>
          <w:b/>
          <w:sz w:val="24"/>
          <w:szCs w:val="24"/>
        </w:rPr>
        <w:t>ECTION</w:t>
      </w:r>
      <w:r>
        <w:rPr>
          <w:rFonts w:ascii="Arial" w:hAnsi="Arial" w:cs="Arial"/>
          <w:b/>
          <w:sz w:val="24"/>
          <w:szCs w:val="24"/>
        </w:rPr>
        <w:t xml:space="preserve"> 7 -</w:t>
      </w:r>
      <w:r w:rsidR="004A1F32" w:rsidRPr="00111F24">
        <w:rPr>
          <w:rFonts w:ascii="Arial" w:hAnsi="Arial" w:cs="Arial"/>
          <w:b/>
          <w:sz w:val="24"/>
          <w:szCs w:val="24"/>
        </w:rPr>
        <w:t xml:space="preserve"> Technology &amp; suppliers</w:t>
      </w:r>
    </w:p>
    <w:p w14:paraId="1837EDB9" w14:textId="77777777" w:rsidR="000D00DA" w:rsidRPr="00111F24" w:rsidRDefault="000D00DA" w:rsidP="004A1F32">
      <w:pPr>
        <w:spacing w:after="0" w:line="240" w:lineRule="auto"/>
        <w:rPr>
          <w:rFonts w:ascii="Arial" w:hAnsi="Arial" w:cs="Arial"/>
          <w:b/>
          <w:sz w:val="24"/>
          <w:szCs w:val="24"/>
        </w:rPr>
      </w:pPr>
    </w:p>
    <w:p w14:paraId="13DC82E2" w14:textId="5322ECDE" w:rsidR="004A1F32" w:rsidRDefault="004A1F32" w:rsidP="000D00DA">
      <w:pPr>
        <w:pStyle w:val="ListParagraph"/>
        <w:numPr>
          <w:ilvl w:val="0"/>
          <w:numId w:val="21"/>
        </w:numPr>
        <w:spacing w:after="0" w:line="240" w:lineRule="auto"/>
        <w:rPr>
          <w:rFonts w:ascii="Arial" w:hAnsi="Arial" w:cs="Arial"/>
          <w:sz w:val="24"/>
          <w:szCs w:val="24"/>
        </w:rPr>
      </w:pPr>
      <w:r w:rsidRPr="000D00DA">
        <w:rPr>
          <w:rFonts w:ascii="Arial" w:hAnsi="Arial" w:cs="Arial"/>
          <w:sz w:val="24"/>
          <w:szCs w:val="24"/>
        </w:rPr>
        <w:t>This section is particularly relevant where you use suppliers for actual processing of personal data. The definition of processing is wide-ranging and includes storing (</w:t>
      </w:r>
      <w:r w:rsidR="0055709F">
        <w:rPr>
          <w:rFonts w:ascii="Arial" w:hAnsi="Arial" w:cs="Arial"/>
          <w:sz w:val="24"/>
          <w:szCs w:val="24"/>
        </w:rPr>
        <w:t xml:space="preserve">as </w:t>
      </w:r>
      <w:r w:rsidRPr="000D00DA">
        <w:rPr>
          <w:rFonts w:ascii="Arial" w:hAnsi="Arial" w:cs="Arial"/>
          <w:sz w:val="24"/>
          <w:szCs w:val="24"/>
        </w:rPr>
        <w:t>paper or digital</w:t>
      </w:r>
      <w:r w:rsidR="0055709F">
        <w:rPr>
          <w:rFonts w:ascii="Arial" w:hAnsi="Arial" w:cs="Arial"/>
          <w:sz w:val="24"/>
          <w:szCs w:val="24"/>
        </w:rPr>
        <w:t xml:space="preserve"> formats</w:t>
      </w:r>
      <w:r w:rsidRPr="000D00DA">
        <w:rPr>
          <w:rFonts w:ascii="Arial" w:hAnsi="Arial" w:cs="Arial"/>
          <w:sz w:val="24"/>
          <w:szCs w:val="24"/>
        </w:rPr>
        <w:t xml:space="preserve">), manipulating or analysing, transporting (e.g. paper files or back-up tapes) or accessing to provide a service (e.g. outsourced call centre staff). If a supplier is merely providing software without any need to hold or access data, or the type of data they receive is purely technical and cannot identify anyone then they are not </w:t>
      </w:r>
      <w:r w:rsidR="0055709F">
        <w:rPr>
          <w:rFonts w:ascii="Arial" w:hAnsi="Arial" w:cs="Arial"/>
          <w:sz w:val="24"/>
          <w:szCs w:val="24"/>
        </w:rPr>
        <w:t xml:space="preserve">processing </w:t>
      </w:r>
      <w:r w:rsidRPr="000D00DA">
        <w:rPr>
          <w:rFonts w:ascii="Arial" w:hAnsi="Arial" w:cs="Arial"/>
          <w:sz w:val="24"/>
          <w:szCs w:val="24"/>
        </w:rPr>
        <w:t>personal data as defined by the law.</w:t>
      </w:r>
    </w:p>
    <w:p w14:paraId="4421AE6D" w14:textId="77777777" w:rsidR="000D00DA" w:rsidRDefault="000D00DA" w:rsidP="000D00DA">
      <w:pPr>
        <w:pStyle w:val="ListParagraph"/>
        <w:spacing w:after="0" w:line="240" w:lineRule="auto"/>
        <w:rPr>
          <w:rFonts w:ascii="Arial" w:hAnsi="Arial" w:cs="Arial"/>
          <w:sz w:val="24"/>
          <w:szCs w:val="24"/>
        </w:rPr>
      </w:pPr>
    </w:p>
    <w:p w14:paraId="0D95C2E4" w14:textId="63E94D1B" w:rsidR="004A1F32" w:rsidRDefault="004A1F32" w:rsidP="004A1F32">
      <w:pPr>
        <w:pStyle w:val="ListParagraph"/>
        <w:numPr>
          <w:ilvl w:val="0"/>
          <w:numId w:val="21"/>
        </w:numPr>
        <w:spacing w:after="0" w:line="240" w:lineRule="auto"/>
        <w:rPr>
          <w:rFonts w:ascii="Arial" w:hAnsi="Arial" w:cs="Arial"/>
          <w:sz w:val="24"/>
          <w:szCs w:val="24"/>
        </w:rPr>
      </w:pPr>
      <w:r w:rsidRPr="000D00DA">
        <w:rPr>
          <w:rFonts w:ascii="Arial" w:hAnsi="Arial" w:cs="Arial"/>
          <w:sz w:val="24"/>
          <w:szCs w:val="24"/>
        </w:rPr>
        <w:t xml:space="preserve">Check where any personal data is being physically held. If the plan is for such data to be held outside of the European Economic Area by the supplier, then you need to note this, as the council will need to check for adequacy arrangements in </w:t>
      </w:r>
      <w:r w:rsidR="003C7A33" w:rsidRPr="000D00DA">
        <w:rPr>
          <w:rFonts w:ascii="Arial" w:hAnsi="Arial" w:cs="Arial"/>
          <w:sz w:val="24"/>
          <w:szCs w:val="24"/>
        </w:rPr>
        <w:t>th</w:t>
      </w:r>
      <w:r w:rsidR="003C7A33">
        <w:rPr>
          <w:rFonts w:ascii="Arial" w:hAnsi="Arial" w:cs="Arial"/>
          <w:sz w:val="24"/>
          <w:szCs w:val="24"/>
        </w:rPr>
        <w:t>e</w:t>
      </w:r>
      <w:r w:rsidR="003C7A33" w:rsidRPr="000D00DA">
        <w:rPr>
          <w:rFonts w:ascii="Arial" w:hAnsi="Arial" w:cs="Arial"/>
          <w:sz w:val="24"/>
          <w:szCs w:val="24"/>
        </w:rPr>
        <w:t xml:space="preserve"> </w:t>
      </w:r>
      <w:r w:rsidR="0063391B" w:rsidRPr="000D00DA">
        <w:rPr>
          <w:rFonts w:ascii="Arial" w:hAnsi="Arial" w:cs="Arial"/>
          <w:sz w:val="24"/>
          <w:szCs w:val="24"/>
        </w:rPr>
        <w:t xml:space="preserve">country </w:t>
      </w:r>
      <w:r w:rsidR="0063391B">
        <w:rPr>
          <w:rFonts w:ascii="Arial" w:hAnsi="Arial" w:cs="Arial"/>
          <w:sz w:val="24"/>
          <w:szCs w:val="24"/>
        </w:rPr>
        <w:t>it</w:t>
      </w:r>
      <w:r w:rsidR="003C7A33">
        <w:rPr>
          <w:rFonts w:ascii="Arial" w:hAnsi="Arial" w:cs="Arial"/>
          <w:sz w:val="24"/>
          <w:szCs w:val="24"/>
        </w:rPr>
        <w:t xml:space="preserve"> is held in </w:t>
      </w:r>
      <w:r w:rsidRPr="000D00DA">
        <w:rPr>
          <w:rFonts w:ascii="Arial" w:hAnsi="Arial" w:cs="Arial"/>
          <w:sz w:val="24"/>
          <w:szCs w:val="24"/>
        </w:rPr>
        <w:t>for that type of data.</w:t>
      </w:r>
    </w:p>
    <w:p w14:paraId="4007C27B" w14:textId="77777777" w:rsidR="000D00DA" w:rsidRDefault="000D00DA" w:rsidP="000D00DA">
      <w:pPr>
        <w:pStyle w:val="ListParagraph"/>
        <w:spacing w:after="0" w:line="240" w:lineRule="auto"/>
        <w:rPr>
          <w:rFonts w:ascii="Arial" w:hAnsi="Arial" w:cs="Arial"/>
          <w:sz w:val="24"/>
          <w:szCs w:val="24"/>
        </w:rPr>
      </w:pPr>
    </w:p>
    <w:p w14:paraId="45624D70" w14:textId="4E94963E" w:rsidR="004A1F32" w:rsidRDefault="004A1F32" w:rsidP="004A1F32">
      <w:pPr>
        <w:pStyle w:val="ListParagraph"/>
        <w:numPr>
          <w:ilvl w:val="0"/>
          <w:numId w:val="21"/>
        </w:numPr>
        <w:spacing w:after="0" w:line="240" w:lineRule="auto"/>
        <w:rPr>
          <w:rFonts w:ascii="Arial" w:hAnsi="Arial" w:cs="Arial"/>
          <w:sz w:val="24"/>
          <w:szCs w:val="24"/>
        </w:rPr>
      </w:pPr>
      <w:r w:rsidRPr="000D00DA">
        <w:rPr>
          <w:rFonts w:ascii="Arial" w:hAnsi="Arial" w:cs="Arial"/>
          <w:sz w:val="24"/>
          <w:szCs w:val="24"/>
        </w:rPr>
        <w:t xml:space="preserve">If the data is to be held outside of the UK (but still within the EEA) you should still outline your justification (e.g. </w:t>
      </w:r>
      <w:r w:rsidR="00AD4436">
        <w:rPr>
          <w:rFonts w:ascii="Arial" w:hAnsi="Arial" w:cs="Arial"/>
          <w:sz w:val="24"/>
          <w:szCs w:val="24"/>
        </w:rPr>
        <w:t xml:space="preserve">a </w:t>
      </w:r>
      <w:r w:rsidRPr="000D00DA">
        <w:rPr>
          <w:rFonts w:ascii="Arial" w:hAnsi="Arial" w:cs="Arial"/>
          <w:sz w:val="24"/>
          <w:szCs w:val="24"/>
        </w:rPr>
        <w:t>cloud-based service where data is in Ireland) as even though this is lawful, there are risks associated with having data outside of the UK (e.g. not able to carry out certain security vetting and not able to easily inspect/audit etc.).</w:t>
      </w:r>
    </w:p>
    <w:p w14:paraId="7DDF0DD8" w14:textId="77777777" w:rsidR="000D00DA" w:rsidRDefault="000D00DA" w:rsidP="000D00DA">
      <w:pPr>
        <w:pStyle w:val="ListParagraph"/>
        <w:spacing w:after="0" w:line="240" w:lineRule="auto"/>
        <w:rPr>
          <w:rFonts w:ascii="Arial" w:hAnsi="Arial" w:cs="Arial"/>
          <w:sz w:val="24"/>
          <w:szCs w:val="24"/>
        </w:rPr>
      </w:pPr>
    </w:p>
    <w:p w14:paraId="6741ACC2" w14:textId="1752C0B3" w:rsidR="004A1F32" w:rsidRDefault="004A1F32" w:rsidP="004A1F32">
      <w:pPr>
        <w:pStyle w:val="ListParagraph"/>
        <w:numPr>
          <w:ilvl w:val="0"/>
          <w:numId w:val="21"/>
        </w:numPr>
        <w:spacing w:after="0" w:line="240" w:lineRule="auto"/>
        <w:rPr>
          <w:rFonts w:ascii="Arial" w:hAnsi="Arial" w:cs="Arial"/>
          <w:sz w:val="24"/>
          <w:szCs w:val="24"/>
        </w:rPr>
      </w:pPr>
      <w:r w:rsidRPr="000D00DA">
        <w:rPr>
          <w:rFonts w:ascii="Arial" w:hAnsi="Arial" w:cs="Arial"/>
          <w:sz w:val="24"/>
          <w:szCs w:val="24"/>
        </w:rPr>
        <w:t xml:space="preserve">There should be a contract in place with a supplier, and this should adequately cover data protection aspects (both in terms of standard clauses and any relevant security control responsibilities put in place). Suppliers are generally data processors, but there are an increasing number of cases in the public sector </w:t>
      </w:r>
      <w:r w:rsidR="000614C2">
        <w:rPr>
          <w:rFonts w:ascii="Arial" w:hAnsi="Arial" w:cs="Arial"/>
          <w:sz w:val="24"/>
          <w:szCs w:val="24"/>
        </w:rPr>
        <w:t>of</w:t>
      </w:r>
      <w:r w:rsidR="000614C2" w:rsidRPr="000D00DA">
        <w:rPr>
          <w:rFonts w:ascii="Arial" w:hAnsi="Arial" w:cs="Arial"/>
          <w:sz w:val="24"/>
          <w:szCs w:val="24"/>
        </w:rPr>
        <w:t xml:space="preserve"> </w:t>
      </w:r>
      <w:r w:rsidRPr="000D00DA">
        <w:rPr>
          <w:rFonts w:ascii="Arial" w:hAnsi="Arial" w:cs="Arial"/>
          <w:sz w:val="24"/>
          <w:szCs w:val="24"/>
        </w:rPr>
        <w:t>‘outcomes based’ contracts where the supplier could be a joint data controller or even sole data controller. This needs to be considered at DPIA stage.</w:t>
      </w:r>
    </w:p>
    <w:p w14:paraId="651BD654" w14:textId="77777777" w:rsidR="000D00DA" w:rsidRDefault="000D00DA" w:rsidP="000D00DA">
      <w:pPr>
        <w:pStyle w:val="ListParagraph"/>
        <w:spacing w:after="0" w:line="240" w:lineRule="auto"/>
        <w:rPr>
          <w:rFonts w:ascii="Arial" w:hAnsi="Arial" w:cs="Arial"/>
          <w:sz w:val="24"/>
          <w:szCs w:val="24"/>
        </w:rPr>
      </w:pPr>
    </w:p>
    <w:p w14:paraId="5D8D7DF8" w14:textId="12802C31" w:rsidR="004A1F32" w:rsidRDefault="004A1F32" w:rsidP="004A1F32">
      <w:pPr>
        <w:pStyle w:val="ListParagraph"/>
        <w:numPr>
          <w:ilvl w:val="0"/>
          <w:numId w:val="21"/>
        </w:numPr>
        <w:spacing w:after="0" w:line="240" w:lineRule="auto"/>
        <w:rPr>
          <w:rFonts w:ascii="Arial" w:hAnsi="Arial" w:cs="Arial"/>
          <w:sz w:val="24"/>
          <w:szCs w:val="24"/>
        </w:rPr>
      </w:pPr>
      <w:r w:rsidRPr="000D00DA">
        <w:rPr>
          <w:rFonts w:ascii="Arial" w:hAnsi="Arial" w:cs="Arial"/>
          <w:sz w:val="24"/>
          <w:szCs w:val="24"/>
        </w:rPr>
        <w:t>Have the suppliers offered any evidence about their adherence to relevant standards such as ISO-27001? And you need to outline the key security controls which are going to be in place on the supplier side ranging from how data is sent (e.g. secure email? What kind of secure email?), use of de-identification/pseudonymisation techniques, who is responsible for disposal of data in accordance with policy? What training is to be undertaken by or for the suppliers?</w:t>
      </w:r>
    </w:p>
    <w:p w14:paraId="5A2BFF42" w14:textId="44861473" w:rsidR="00C56100" w:rsidRDefault="00C56100" w:rsidP="00C56100">
      <w:pPr>
        <w:pStyle w:val="ListParagraph"/>
        <w:spacing w:after="0" w:line="240" w:lineRule="auto"/>
        <w:rPr>
          <w:rFonts w:ascii="Arial" w:hAnsi="Arial" w:cs="Arial"/>
          <w:sz w:val="24"/>
          <w:szCs w:val="24"/>
        </w:rPr>
      </w:pPr>
    </w:p>
    <w:p w14:paraId="66CB61B5" w14:textId="2370461B" w:rsidR="00187665" w:rsidRDefault="00187665" w:rsidP="00C56100">
      <w:pPr>
        <w:pStyle w:val="ListParagraph"/>
        <w:spacing w:after="0" w:line="240" w:lineRule="auto"/>
        <w:rPr>
          <w:rFonts w:ascii="Arial" w:hAnsi="Arial" w:cs="Arial"/>
          <w:sz w:val="24"/>
          <w:szCs w:val="24"/>
        </w:rPr>
      </w:pPr>
    </w:p>
    <w:p w14:paraId="253E3C1F" w14:textId="77777777" w:rsidR="00187665" w:rsidRPr="000D00DA" w:rsidRDefault="00187665" w:rsidP="00C56100">
      <w:pPr>
        <w:pStyle w:val="ListParagraph"/>
        <w:spacing w:after="0" w:line="240" w:lineRule="auto"/>
        <w:rPr>
          <w:rFonts w:ascii="Arial" w:hAnsi="Arial" w:cs="Arial"/>
          <w:sz w:val="24"/>
          <w:szCs w:val="24"/>
        </w:rPr>
      </w:pPr>
    </w:p>
    <w:p w14:paraId="182677BA" w14:textId="3C561597" w:rsidR="004A1F32" w:rsidRDefault="00C56100" w:rsidP="004A1F32">
      <w:pPr>
        <w:spacing w:after="0" w:line="240" w:lineRule="auto"/>
        <w:rPr>
          <w:rFonts w:ascii="Arial" w:hAnsi="Arial" w:cs="Arial"/>
          <w:b/>
          <w:sz w:val="24"/>
          <w:szCs w:val="24"/>
        </w:rPr>
      </w:pPr>
      <w:r>
        <w:rPr>
          <w:rFonts w:ascii="Arial" w:hAnsi="Arial" w:cs="Arial"/>
          <w:b/>
          <w:sz w:val="24"/>
          <w:szCs w:val="24"/>
        </w:rPr>
        <w:lastRenderedPageBreak/>
        <w:t>S</w:t>
      </w:r>
      <w:r w:rsidR="004549C4">
        <w:rPr>
          <w:rFonts w:ascii="Arial" w:hAnsi="Arial" w:cs="Arial"/>
          <w:b/>
          <w:sz w:val="24"/>
          <w:szCs w:val="24"/>
        </w:rPr>
        <w:t>ECTION</w:t>
      </w:r>
      <w:r>
        <w:rPr>
          <w:rFonts w:ascii="Arial" w:hAnsi="Arial" w:cs="Arial"/>
          <w:b/>
          <w:sz w:val="24"/>
          <w:szCs w:val="24"/>
        </w:rPr>
        <w:t xml:space="preserve"> 8 -</w:t>
      </w:r>
      <w:r w:rsidR="004A1F32" w:rsidRPr="00111F24">
        <w:rPr>
          <w:rFonts w:ascii="Arial" w:hAnsi="Arial" w:cs="Arial"/>
          <w:b/>
          <w:sz w:val="24"/>
          <w:szCs w:val="24"/>
        </w:rPr>
        <w:t xml:space="preserve"> Risk assessment </w:t>
      </w:r>
      <w:r>
        <w:rPr>
          <w:rFonts w:ascii="Arial" w:hAnsi="Arial" w:cs="Arial"/>
          <w:b/>
          <w:sz w:val="24"/>
          <w:szCs w:val="24"/>
        </w:rPr>
        <w:t>and</w:t>
      </w:r>
      <w:r w:rsidR="004A1F32" w:rsidRPr="00111F24">
        <w:rPr>
          <w:rFonts w:ascii="Arial" w:hAnsi="Arial" w:cs="Arial"/>
          <w:b/>
          <w:sz w:val="24"/>
          <w:szCs w:val="24"/>
        </w:rPr>
        <w:t xml:space="preserve"> management</w:t>
      </w:r>
    </w:p>
    <w:p w14:paraId="53813000" w14:textId="77777777" w:rsidR="00C56100" w:rsidRPr="00111F24" w:rsidRDefault="00C56100" w:rsidP="004A1F32">
      <w:pPr>
        <w:spacing w:after="0" w:line="240" w:lineRule="auto"/>
        <w:rPr>
          <w:rFonts w:ascii="Arial" w:hAnsi="Arial" w:cs="Arial"/>
          <w:b/>
          <w:sz w:val="24"/>
          <w:szCs w:val="24"/>
        </w:rPr>
      </w:pPr>
    </w:p>
    <w:p w14:paraId="16CBCBE0" w14:textId="027B2659" w:rsidR="004A1F32" w:rsidRDefault="004A1F32" w:rsidP="00C56100">
      <w:pPr>
        <w:pStyle w:val="ListParagraph"/>
        <w:numPr>
          <w:ilvl w:val="0"/>
          <w:numId w:val="22"/>
        </w:numPr>
        <w:spacing w:after="0" w:line="240" w:lineRule="auto"/>
        <w:rPr>
          <w:rFonts w:ascii="Arial" w:hAnsi="Arial" w:cs="Arial"/>
          <w:sz w:val="24"/>
          <w:szCs w:val="24"/>
        </w:rPr>
      </w:pPr>
      <w:r w:rsidRPr="00C56100">
        <w:rPr>
          <w:rFonts w:ascii="Arial" w:hAnsi="Arial" w:cs="Arial"/>
          <w:sz w:val="24"/>
          <w:szCs w:val="24"/>
        </w:rPr>
        <w:t>The act of going through the sections 1 to 7 should raise privacy or security outstanding risks, and you should outline the key ones (e.g. an employee could still send data to wrong party).</w:t>
      </w:r>
    </w:p>
    <w:p w14:paraId="497AC96C" w14:textId="77777777" w:rsidR="00C56100" w:rsidRDefault="00C56100" w:rsidP="00C56100">
      <w:pPr>
        <w:pStyle w:val="ListParagraph"/>
        <w:spacing w:after="0" w:line="240" w:lineRule="auto"/>
        <w:rPr>
          <w:rFonts w:ascii="Arial" w:hAnsi="Arial" w:cs="Arial"/>
          <w:sz w:val="24"/>
          <w:szCs w:val="24"/>
        </w:rPr>
      </w:pPr>
    </w:p>
    <w:p w14:paraId="235917C9" w14:textId="30386FFF" w:rsidR="004A1F32" w:rsidRDefault="004A1F32" w:rsidP="004A1F32">
      <w:pPr>
        <w:pStyle w:val="ListParagraph"/>
        <w:numPr>
          <w:ilvl w:val="0"/>
          <w:numId w:val="22"/>
        </w:numPr>
        <w:spacing w:after="0" w:line="240" w:lineRule="auto"/>
        <w:rPr>
          <w:rFonts w:ascii="Arial" w:hAnsi="Arial" w:cs="Arial"/>
          <w:sz w:val="24"/>
          <w:szCs w:val="24"/>
        </w:rPr>
      </w:pPr>
      <w:r w:rsidRPr="00C56100">
        <w:rPr>
          <w:rFonts w:ascii="Arial" w:hAnsi="Arial" w:cs="Arial"/>
          <w:sz w:val="24"/>
          <w:szCs w:val="24"/>
        </w:rPr>
        <w:t xml:space="preserve">There may also be areas </w:t>
      </w:r>
      <w:r w:rsidR="004C2FBD">
        <w:rPr>
          <w:rFonts w:ascii="Arial" w:hAnsi="Arial" w:cs="Arial"/>
          <w:sz w:val="24"/>
          <w:szCs w:val="24"/>
        </w:rPr>
        <w:t>which are unknown</w:t>
      </w:r>
      <w:r w:rsidRPr="00C56100">
        <w:rPr>
          <w:rFonts w:ascii="Arial" w:hAnsi="Arial" w:cs="Arial"/>
          <w:sz w:val="24"/>
          <w:szCs w:val="24"/>
        </w:rPr>
        <w:t xml:space="preserve"> and </w:t>
      </w:r>
      <w:r w:rsidR="00C655CB">
        <w:rPr>
          <w:rFonts w:ascii="Arial" w:hAnsi="Arial" w:cs="Arial"/>
          <w:sz w:val="24"/>
          <w:szCs w:val="24"/>
        </w:rPr>
        <w:t xml:space="preserve">at this stage you </w:t>
      </w:r>
      <w:r w:rsidRPr="00C56100">
        <w:rPr>
          <w:rFonts w:ascii="Arial" w:hAnsi="Arial" w:cs="Arial"/>
          <w:sz w:val="24"/>
          <w:szCs w:val="24"/>
        </w:rPr>
        <w:t xml:space="preserve">do not really know what your exposure </w:t>
      </w:r>
      <w:r w:rsidR="00C655CB">
        <w:rPr>
          <w:rFonts w:ascii="Arial" w:hAnsi="Arial" w:cs="Arial"/>
          <w:sz w:val="24"/>
          <w:szCs w:val="24"/>
        </w:rPr>
        <w:t>might be</w:t>
      </w:r>
      <w:r w:rsidRPr="00C56100">
        <w:rPr>
          <w:rFonts w:ascii="Arial" w:hAnsi="Arial" w:cs="Arial"/>
          <w:sz w:val="24"/>
          <w:szCs w:val="24"/>
        </w:rPr>
        <w:t>. An emerging area for example is cyber</w:t>
      </w:r>
      <w:r w:rsidR="00C655CB">
        <w:rPr>
          <w:rFonts w:ascii="Arial" w:hAnsi="Arial" w:cs="Arial"/>
          <w:sz w:val="24"/>
          <w:szCs w:val="24"/>
        </w:rPr>
        <w:t xml:space="preserve"> security</w:t>
      </w:r>
      <w:r w:rsidRPr="00C56100">
        <w:rPr>
          <w:rFonts w:ascii="Arial" w:hAnsi="Arial" w:cs="Arial"/>
          <w:sz w:val="24"/>
          <w:szCs w:val="24"/>
        </w:rPr>
        <w:t xml:space="preserve"> and </w:t>
      </w:r>
      <w:proofErr w:type="gramStart"/>
      <w:r w:rsidRPr="00C56100">
        <w:rPr>
          <w:rFonts w:ascii="Arial" w:hAnsi="Arial" w:cs="Arial"/>
          <w:sz w:val="24"/>
          <w:szCs w:val="24"/>
        </w:rPr>
        <w:t>in particular where</w:t>
      </w:r>
      <w:proofErr w:type="gramEnd"/>
      <w:r w:rsidRPr="00C56100">
        <w:rPr>
          <w:rFonts w:ascii="Arial" w:hAnsi="Arial" w:cs="Arial"/>
          <w:sz w:val="24"/>
          <w:szCs w:val="24"/>
        </w:rPr>
        <w:t xml:space="preserve"> there are new forms of attack and vulnerabilities exploited in software and networks that are not always obvious. If you have commissioned any kind of consultancy or you are aware of any relevant testing (e.g. annual IT health check in order to get PSN Certificate) you should mention this. The Data Protection Officer may ask for additional assurance depending on the risks.</w:t>
      </w:r>
    </w:p>
    <w:p w14:paraId="50C010E0" w14:textId="77777777" w:rsidR="009C46CA" w:rsidRDefault="009C46CA" w:rsidP="009C46CA">
      <w:pPr>
        <w:pStyle w:val="ListParagraph"/>
        <w:spacing w:after="0" w:line="240" w:lineRule="auto"/>
        <w:rPr>
          <w:rFonts w:ascii="Arial" w:hAnsi="Arial" w:cs="Arial"/>
          <w:sz w:val="24"/>
          <w:szCs w:val="24"/>
        </w:rPr>
      </w:pPr>
    </w:p>
    <w:p w14:paraId="6C8C1477" w14:textId="413D092D" w:rsidR="00E92880" w:rsidRDefault="00E92880" w:rsidP="00E92880">
      <w:pPr>
        <w:pStyle w:val="ListParagraph"/>
        <w:numPr>
          <w:ilvl w:val="0"/>
          <w:numId w:val="22"/>
        </w:numPr>
        <w:spacing w:after="0" w:line="240" w:lineRule="auto"/>
        <w:rPr>
          <w:rFonts w:ascii="Arial" w:hAnsi="Arial" w:cs="Arial"/>
          <w:sz w:val="24"/>
          <w:szCs w:val="24"/>
        </w:rPr>
      </w:pPr>
      <w:r w:rsidRPr="00E92880">
        <w:rPr>
          <w:rFonts w:ascii="Arial" w:hAnsi="Arial" w:cs="Arial"/>
          <w:sz w:val="24"/>
          <w:szCs w:val="24"/>
        </w:rPr>
        <w:t>Prior to submission</w:t>
      </w:r>
      <w:r>
        <w:rPr>
          <w:rFonts w:ascii="Arial" w:hAnsi="Arial" w:cs="Arial"/>
          <w:sz w:val="24"/>
          <w:szCs w:val="24"/>
        </w:rPr>
        <w:t xml:space="preserve"> of the DPIA</w:t>
      </w:r>
      <w:r w:rsidRPr="00E92880">
        <w:rPr>
          <w:rFonts w:ascii="Arial" w:hAnsi="Arial" w:cs="Arial"/>
          <w:sz w:val="24"/>
          <w:szCs w:val="24"/>
        </w:rPr>
        <w:t>, you should get authorisation from the asset owner(s) as to the content and the risks being accepted at this stage.</w:t>
      </w:r>
    </w:p>
    <w:p w14:paraId="5710227A" w14:textId="77777777" w:rsidR="00E92880" w:rsidRPr="00E92880" w:rsidRDefault="00E92880" w:rsidP="00E92880">
      <w:pPr>
        <w:pStyle w:val="ListParagraph"/>
        <w:spacing w:after="0" w:line="240" w:lineRule="auto"/>
        <w:rPr>
          <w:rFonts w:ascii="Arial" w:hAnsi="Arial" w:cs="Arial"/>
          <w:sz w:val="24"/>
          <w:szCs w:val="24"/>
        </w:rPr>
      </w:pPr>
    </w:p>
    <w:p w14:paraId="1563FB1B" w14:textId="002D4BF4" w:rsidR="009C46CA" w:rsidRDefault="00E92880" w:rsidP="00D00E5F">
      <w:pPr>
        <w:pStyle w:val="ListParagraph"/>
        <w:numPr>
          <w:ilvl w:val="0"/>
          <w:numId w:val="22"/>
        </w:numPr>
        <w:spacing w:after="0" w:line="240" w:lineRule="auto"/>
        <w:rPr>
          <w:rFonts w:ascii="Arial" w:hAnsi="Arial" w:cs="Arial"/>
          <w:sz w:val="24"/>
          <w:szCs w:val="24"/>
        </w:rPr>
      </w:pPr>
      <w:r w:rsidRPr="00E92880">
        <w:rPr>
          <w:rFonts w:ascii="Arial" w:hAnsi="Arial" w:cs="Arial"/>
          <w:sz w:val="24"/>
          <w:szCs w:val="24"/>
        </w:rPr>
        <w:t xml:space="preserve">If the contents of the risk assessment are deemed sensitive (e.g. often details of security controls and vulnerabilities should have very limited circulation) then </w:t>
      </w:r>
      <w:proofErr w:type="gramStart"/>
      <w:r w:rsidRPr="00E92880">
        <w:rPr>
          <w:rFonts w:ascii="Arial" w:hAnsi="Arial" w:cs="Arial"/>
          <w:sz w:val="24"/>
          <w:szCs w:val="24"/>
        </w:rPr>
        <w:t xml:space="preserve">label </w:t>
      </w:r>
      <w:r w:rsidR="00A94E16">
        <w:rPr>
          <w:rFonts w:ascii="Arial" w:hAnsi="Arial" w:cs="Arial"/>
          <w:sz w:val="24"/>
          <w:szCs w:val="24"/>
        </w:rPr>
        <w:t xml:space="preserve"> the</w:t>
      </w:r>
      <w:proofErr w:type="gramEnd"/>
      <w:r w:rsidRPr="00E92880">
        <w:rPr>
          <w:rFonts w:ascii="Arial" w:hAnsi="Arial" w:cs="Arial"/>
          <w:sz w:val="24"/>
          <w:szCs w:val="24"/>
        </w:rPr>
        <w:t xml:space="preserve"> document </w:t>
      </w:r>
      <w:r w:rsidR="00A94E16" w:rsidRPr="00E92880">
        <w:rPr>
          <w:rFonts w:ascii="Arial" w:hAnsi="Arial" w:cs="Arial"/>
          <w:sz w:val="24"/>
          <w:szCs w:val="24"/>
        </w:rPr>
        <w:t>OFFICIAL – SENSITIVE at</w:t>
      </w:r>
      <w:r w:rsidR="00A94E16">
        <w:rPr>
          <w:rFonts w:ascii="Arial" w:hAnsi="Arial" w:cs="Arial"/>
          <w:sz w:val="24"/>
          <w:szCs w:val="24"/>
        </w:rPr>
        <w:t xml:space="preserve"> the</w:t>
      </w:r>
      <w:r w:rsidR="00A94E16" w:rsidRPr="00E92880">
        <w:rPr>
          <w:rFonts w:ascii="Arial" w:hAnsi="Arial" w:cs="Arial"/>
          <w:sz w:val="24"/>
          <w:szCs w:val="24"/>
        </w:rPr>
        <w:t xml:space="preserve"> top</w:t>
      </w:r>
      <w:r w:rsidR="00A94E16">
        <w:rPr>
          <w:rFonts w:ascii="Arial" w:hAnsi="Arial" w:cs="Arial"/>
          <w:sz w:val="24"/>
          <w:szCs w:val="24"/>
        </w:rPr>
        <w:t xml:space="preserve"> </w:t>
      </w:r>
      <w:r w:rsidRPr="00E92880">
        <w:rPr>
          <w:rFonts w:ascii="Arial" w:hAnsi="Arial" w:cs="Arial"/>
          <w:sz w:val="24"/>
          <w:szCs w:val="24"/>
        </w:rPr>
        <w:t>and handle accordingly.</w:t>
      </w:r>
    </w:p>
    <w:p w14:paraId="7093AF39" w14:textId="60C8A34B" w:rsidR="00D00E5F" w:rsidRDefault="00D00E5F" w:rsidP="00D00E5F">
      <w:pPr>
        <w:spacing w:after="0" w:line="240" w:lineRule="auto"/>
        <w:rPr>
          <w:rFonts w:ascii="Arial" w:hAnsi="Arial" w:cs="Arial"/>
          <w:sz w:val="24"/>
          <w:szCs w:val="24"/>
        </w:rPr>
      </w:pPr>
    </w:p>
    <w:p w14:paraId="2FB5B6C3" w14:textId="4C46B24A" w:rsidR="00761E42" w:rsidRDefault="00D00E5F" w:rsidP="00761E42">
      <w:pPr>
        <w:spacing w:after="0" w:line="240" w:lineRule="auto"/>
        <w:rPr>
          <w:rFonts w:ascii="Arial" w:hAnsi="Arial" w:cs="Arial"/>
          <w:b/>
          <w:sz w:val="24"/>
          <w:szCs w:val="24"/>
        </w:rPr>
      </w:pPr>
      <w:r>
        <w:rPr>
          <w:rFonts w:ascii="Arial" w:hAnsi="Arial" w:cs="Arial"/>
          <w:b/>
          <w:sz w:val="24"/>
          <w:szCs w:val="24"/>
        </w:rPr>
        <w:t>S</w:t>
      </w:r>
      <w:r w:rsidR="00D92A17">
        <w:rPr>
          <w:rFonts w:ascii="Arial" w:hAnsi="Arial" w:cs="Arial"/>
          <w:b/>
          <w:sz w:val="24"/>
          <w:szCs w:val="24"/>
        </w:rPr>
        <w:t>ECTION</w:t>
      </w:r>
      <w:r>
        <w:rPr>
          <w:rFonts w:ascii="Arial" w:hAnsi="Arial" w:cs="Arial"/>
          <w:b/>
          <w:sz w:val="24"/>
          <w:szCs w:val="24"/>
        </w:rPr>
        <w:t xml:space="preserve"> 9 </w:t>
      </w:r>
      <w:r w:rsidR="009F7E79">
        <w:rPr>
          <w:rFonts w:ascii="Arial" w:hAnsi="Arial" w:cs="Arial"/>
          <w:b/>
          <w:sz w:val="24"/>
          <w:szCs w:val="24"/>
        </w:rPr>
        <w:t>–</w:t>
      </w:r>
      <w:r>
        <w:rPr>
          <w:rFonts w:ascii="Arial" w:hAnsi="Arial" w:cs="Arial"/>
          <w:b/>
          <w:sz w:val="24"/>
          <w:szCs w:val="24"/>
        </w:rPr>
        <w:t xml:space="preserve"> </w:t>
      </w:r>
      <w:r w:rsidR="009F7E79">
        <w:rPr>
          <w:rFonts w:ascii="Arial" w:hAnsi="Arial" w:cs="Arial"/>
          <w:b/>
          <w:sz w:val="24"/>
          <w:szCs w:val="24"/>
        </w:rPr>
        <w:t>Record of actions taken</w:t>
      </w:r>
    </w:p>
    <w:p w14:paraId="1B9EBD7E" w14:textId="77777777" w:rsidR="00761E42" w:rsidRDefault="00761E42" w:rsidP="00761E42">
      <w:pPr>
        <w:spacing w:after="0" w:line="240" w:lineRule="auto"/>
        <w:rPr>
          <w:rFonts w:ascii="Arial" w:hAnsi="Arial" w:cs="Arial"/>
          <w:b/>
          <w:sz w:val="24"/>
          <w:szCs w:val="24"/>
        </w:rPr>
      </w:pPr>
    </w:p>
    <w:p w14:paraId="46403E92" w14:textId="69311926" w:rsidR="00E2047E" w:rsidRPr="00761E42" w:rsidRDefault="00E2047E" w:rsidP="00761E42">
      <w:pPr>
        <w:spacing w:after="0" w:line="240" w:lineRule="auto"/>
        <w:rPr>
          <w:rFonts w:ascii="Arial" w:hAnsi="Arial" w:cs="Arial"/>
          <w:b/>
          <w:sz w:val="24"/>
          <w:szCs w:val="24"/>
        </w:rPr>
      </w:pPr>
      <w:r w:rsidRPr="00F75EEF">
        <w:rPr>
          <w:rFonts w:ascii="Arial" w:hAnsi="Arial" w:cs="Arial"/>
          <w:b/>
          <w:sz w:val="24"/>
          <w:szCs w:val="24"/>
        </w:rPr>
        <w:t>What next?</w:t>
      </w:r>
      <w:r w:rsidR="004A0092" w:rsidRPr="00F75EEF">
        <w:rPr>
          <w:rFonts w:ascii="Arial" w:hAnsi="Arial" w:cs="Arial"/>
          <w:b/>
          <w:sz w:val="24"/>
          <w:szCs w:val="24"/>
        </w:rPr>
        <w:t xml:space="preserve"> What will the Data Protection Officer do?</w:t>
      </w:r>
    </w:p>
    <w:p w14:paraId="0DFABF55" w14:textId="77777777" w:rsidR="00761E42" w:rsidRDefault="00761E42" w:rsidP="00111F24">
      <w:pPr>
        <w:spacing w:after="0" w:line="240" w:lineRule="auto"/>
        <w:rPr>
          <w:rFonts w:ascii="Arial" w:hAnsi="Arial" w:cs="Arial"/>
          <w:sz w:val="24"/>
          <w:szCs w:val="24"/>
        </w:rPr>
      </w:pPr>
    </w:p>
    <w:p w14:paraId="705D6C55" w14:textId="1084C4FA" w:rsidR="0047121A" w:rsidRDefault="00E2047E" w:rsidP="00111F24">
      <w:pPr>
        <w:spacing w:after="0" w:line="240" w:lineRule="auto"/>
        <w:rPr>
          <w:rFonts w:ascii="Arial" w:hAnsi="Arial" w:cs="Arial"/>
          <w:sz w:val="24"/>
          <w:szCs w:val="24"/>
        </w:rPr>
      </w:pPr>
      <w:r w:rsidRPr="00111F24">
        <w:rPr>
          <w:rFonts w:ascii="Arial" w:hAnsi="Arial" w:cs="Arial"/>
          <w:sz w:val="24"/>
          <w:szCs w:val="24"/>
        </w:rPr>
        <w:t>The Data Protection Officer (DPO) will review your DPIA</w:t>
      </w:r>
      <w:r w:rsidR="004A0092" w:rsidRPr="00111F24">
        <w:rPr>
          <w:rFonts w:ascii="Arial" w:hAnsi="Arial" w:cs="Arial"/>
          <w:sz w:val="24"/>
          <w:szCs w:val="24"/>
        </w:rPr>
        <w:t xml:space="preserve"> and respond</w:t>
      </w:r>
      <w:r w:rsidR="00EE5BAD" w:rsidRPr="00111F24">
        <w:rPr>
          <w:rFonts w:ascii="Arial" w:hAnsi="Arial" w:cs="Arial"/>
          <w:sz w:val="24"/>
          <w:szCs w:val="24"/>
        </w:rPr>
        <w:t xml:space="preserve">. </w:t>
      </w:r>
      <w:r w:rsidR="004549C4">
        <w:rPr>
          <w:rFonts w:ascii="Arial" w:hAnsi="Arial" w:cs="Arial"/>
          <w:sz w:val="24"/>
          <w:szCs w:val="24"/>
        </w:rPr>
        <w:t xml:space="preserve"> </w:t>
      </w:r>
      <w:r w:rsidRPr="00111F24">
        <w:rPr>
          <w:rFonts w:ascii="Arial" w:hAnsi="Arial" w:cs="Arial"/>
          <w:sz w:val="24"/>
          <w:szCs w:val="24"/>
        </w:rPr>
        <w:t xml:space="preserve">The </w:t>
      </w:r>
      <w:r w:rsidR="004A0092" w:rsidRPr="00111F24">
        <w:rPr>
          <w:rFonts w:ascii="Arial" w:hAnsi="Arial" w:cs="Arial"/>
          <w:sz w:val="24"/>
          <w:szCs w:val="24"/>
        </w:rPr>
        <w:t xml:space="preserve">following action </w:t>
      </w:r>
      <w:r w:rsidR="00991E10">
        <w:rPr>
          <w:rFonts w:ascii="Arial" w:hAnsi="Arial" w:cs="Arial"/>
          <w:sz w:val="24"/>
          <w:szCs w:val="24"/>
        </w:rPr>
        <w:t>may include</w:t>
      </w:r>
      <w:r w:rsidR="004A0092" w:rsidRPr="00111F24">
        <w:rPr>
          <w:rFonts w:ascii="Arial" w:hAnsi="Arial" w:cs="Arial"/>
          <w:sz w:val="24"/>
          <w:szCs w:val="24"/>
        </w:rPr>
        <w:t>:</w:t>
      </w:r>
    </w:p>
    <w:p w14:paraId="567BBD78" w14:textId="77777777" w:rsidR="00761E42" w:rsidRPr="00111F24" w:rsidRDefault="00761E42" w:rsidP="00111F24">
      <w:pPr>
        <w:spacing w:after="0" w:line="240" w:lineRule="auto"/>
        <w:rPr>
          <w:rFonts w:ascii="Arial" w:hAnsi="Arial" w:cs="Arial"/>
          <w:sz w:val="24"/>
          <w:szCs w:val="24"/>
        </w:rPr>
      </w:pPr>
    </w:p>
    <w:p w14:paraId="2D9044C5" w14:textId="628EC01B" w:rsidR="004A0092" w:rsidRPr="00111F24" w:rsidRDefault="004A0092" w:rsidP="00111F24">
      <w:pPr>
        <w:pStyle w:val="ListParagraph"/>
        <w:numPr>
          <w:ilvl w:val="0"/>
          <w:numId w:val="4"/>
        </w:numPr>
        <w:spacing w:after="0" w:line="240" w:lineRule="auto"/>
        <w:rPr>
          <w:rFonts w:ascii="Arial" w:hAnsi="Arial" w:cs="Arial"/>
          <w:sz w:val="24"/>
          <w:szCs w:val="24"/>
        </w:rPr>
      </w:pPr>
      <w:r w:rsidRPr="00111F24">
        <w:rPr>
          <w:rFonts w:ascii="Arial" w:hAnsi="Arial" w:cs="Arial"/>
          <w:sz w:val="24"/>
          <w:szCs w:val="24"/>
        </w:rPr>
        <w:t>Request for clarification on any points. If the DPIA is very incomplete, then you may be guided on how to complete it satisfactorily and re-submit.</w:t>
      </w:r>
    </w:p>
    <w:p w14:paraId="12FB76CE" w14:textId="1CB5D866" w:rsidR="00E2047E" w:rsidRPr="00111F24" w:rsidRDefault="00EE5BAD" w:rsidP="00111F24">
      <w:pPr>
        <w:pStyle w:val="ListParagraph"/>
        <w:numPr>
          <w:ilvl w:val="0"/>
          <w:numId w:val="4"/>
        </w:numPr>
        <w:spacing w:after="0" w:line="240" w:lineRule="auto"/>
        <w:rPr>
          <w:rFonts w:ascii="Arial" w:hAnsi="Arial" w:cs="Arial"/>
          <w:sz w:val="24"/>
          <w:szCs w:val="24"/>
        </w:rPr>
      </w:pPr>
      <w:r>
        <w:rPr>
          <w:rFonts w:ascii="Arial" w:hAnsi="Arial" w:cs="Arial"/>
          <w:sz w:val="24"/>
          <w:szCs w:val="24"/>
        </w:rPr>
        <w:t xml:space="preserve">The </w:t>
      </w:r>
      <w:r w:rsidR="004A0092" w:rsidRPr="00111F24">
        <w:rPr>
          <w:rFonts w:ascii="Arial" w:hAnsi="Arial" w:cs="Arial"/>
          <w:sz w:val="24"/>
          <w:szCs w:val="24"/>
        </w:rPr>
        <w:t xml:space="preserve">DPO may consult with IT security, </w:t>
      </w:r>
      <w:r w:rsidR="004549C4">
        <w:rPr>
          <w:rFonts w:ascii="Arial" w:hAnsi="Arial" w:cs="Arial"/>
          <w:sz w:val="24"/>
          <w:szCs w:val="24"/>
        </w:rPr>
        <w:t xml:space="preserve">the organisation’s </w:t>
      </w:r>
      <w:r w:rsidR="004A0092" w:rsidRPr="00111F24">
        <w:rPr>
          <w:rFonts w:ascii="Arial" w:hAnsi="Arial" w:cs="Arial"/>
          <w:sz w:val="24"/>
          <w:szCs w:val="24"/>
        </w:rPr>
        <w:t xml:space="preserve">legal </w:t>
      </w:r>
      <w:r w:rsidR="004549C4">
        <w:rPr>
          <w:rFonts w:ascii="Arial" w:hAnsi="Arial" w:cs="Arial"/>
          <w:sz w:val="24"/>
          <w:szCs w:val="24"/>
        </w:rPr>
        <w:t>advisers</w:t>
      </w:r>
      <w:r w:rsidR="004A0092" w:rsidRPr="00111F24">
        <w:rPr>
          <w:rFonts w:ascii="Arial" w:hAnsi="Arial" w:cs="Arial"/>
          <w:sz w:val="24"/>
          <w:szCs w:val="24"/>
        </w:rPr>
        <w:t xml:space="preserve"> and/or Information Commissioner.</w:t>
      </w:r>
    </w:p>
    <w:p w14:paraId="6E619B81" w14:textId="2CC4445B" w:rsidR="004A0092" w:rsidRPr="00111F24" w:rsidRDefault="004A0092" w:rsidP="00111F24">
      <w:pPr>
        <w:pStyle w:val="ListParagraph"/>
        <w:numPr>
          <w:ilvl w:val="0"/>
          <w:numId w:val="4"/>
        </w:numPr>
        <w:spacing w:after="0" w:line="240" w:lineRule="auto"/>
        <w:rPr>
          <w:rFonts w:ascii="Arial" w:hAnsi="Arial" w:cs="Arial"/>
          <w:sz w:val="24"/>
          <w:szCs w:val="24"/>
        </w:rPr>
      </w:pPr>
      <w:r w:rsidRPr="00111F24">
        <w:rPr>
          <w:rFonts w:ascii="Arial" w:hAnsi="Arial" w:cs="Arial"/>
          <w:sz w:val="24"/>
          <w:szCs w:val="24"/>
        </w:rPr>
        <w:t xml:space="preserve">The DPO will give an overall rating of </w:t>
      </w:r>
      <w:r w:rsidR="00EE5BAD">
        <w:rPr>
          <w:rFonts w:ascii="Arial" w:hAnsi="Arial" w:cs="Arial"/>
          <w:sz w:val="24"/>
          <w:szCs w:val="24"/>
        </w:rPr>
        <w:t xml:space="preserve">a </w:t>
      </w:r>
      <w:r w:rsidRPr="00111F24">
        <w:rPr>
          <w:rFonts w:ascii="Arial" w:hAnsi="Arial" w:cs="Arial"/>
          <w:sz w:val="24"/>
          <w:szCs w:val="24"/>
        </w:rPr>
        <w:t>RED/AMBER/GREEN</w:t>
      </w:r>
      <w:r w:rsidR="00650497" w:rsidRPr="00111F24">
        <w:rPr>
          <w:rFonts w:ascii="Arial" w:hAnsi="Arial" w:cs="Arial"/>
          <w:sz w:val="24"/>
          <w:szCs w:val="24"/>
        </w:rPr>
        <w:t xml:space="preserve"> indicator based on the information in the DPIA at the time it was submitted</w:t>
      </w:r>
      <w:r w:rsidR="00295801" w:rsidRPr="00111F24">
        <w:rPr>
          <w:rFonts w:ascii="Arial" w:hAnsi="Arial" w:cs="Arial"/>
          <w:sz w:val="24"/>
          <w:szCs w:val="24"/>
        </w:rPr>
        <w:t>, along</w:t>
      </w:r>
      <w:r w:rsidRPr="00111F24">
        <w:rPr>
          <w:rFonts w:ascii="Arial" w:hAnsi="Arial" w:cs="Arial"/>
          <w:sz w:val="24"/>
          <w:szCs w:val="24"/>
        </w:rPr>
        <w:t xml:space="preserve"> </w:t>
      </w:r>
      <w:r w:rsidR="00295801" w:rsidRPr="00111F24">
        <w:rPr>
          <w:rFonts w:ascii="Arial" w:hAnsi="Arial" w:cs="Arial"/>
          <w:sz w:val="24"/>
          <w:szCs w:val="24"/>
        </w:rPr>
        <w:t>with</w:t>
      </w:r>
      <w:r w:rsidRPr="00111F24">
        <w:rPr>
          <w:rFonts w:ascii="Arial" w:hAnsi="Arial" w:cs="Arial"/>
          <w:sz w:val="24"/>
          <w:szCs w:val="24"/>
        </w:rPr>
        <w:t xml:space="preserve"> recommendations for action.</w:t>
      </w:r>
    </w:p>
    <w:p w14:paraId="244226CB" w14:textId="50855C59" w:rsidR="00295801" w:rsidRPr="00111F24" w:rsidRDefault="00295801" w:rsidP="00111F24">
      <w:pPr>
        <w:pStyle w:val="ListParagraph"/>
        <w:numPr>
          <w:ilvl w:val="0"/>
          <w:numId w:val="4"/>
        </w:numPr>
        <w:spacing w:after="0" w:line="240" w:lineRule="auto"/>
        <w:rPr>
          <w:rFonts w:ascii="Arial" w:hAnsi="Arial" w:cs="Arial"/>
          <w:sz w:val="24"/>
          <w:szCs w:val="24"/>
        </w:rPr>
      </w:pPr>
      <w:r w:rsidRPr="00111F24">
        <w:rPr>
          <w:rFonts w:ascii="Arial" w:hAnsi="Arial" w:cs="Arial"/>
          <w:sz w:val="24"/>
          <w:szCs w:val="24"/>
        </w:rPr>
        <w:t xml:space="preserve">One recommendation could be </w:t>
      </w:r>
      <w:r w:rsidR="00EE5BAD">
        <w:rPr>
          <w:rFonts w:ascii="Arial" w:hAnsi="Arial" w:cs="Arial"/>
          <w:sz w:val="24"/>
          <w:szCs w:val="24"/>
        </w:rPr>
        <w:t xml:space="preserve">to carry </w:t>
      </w:r>
      <w:r w:rsidRPr="00111F24">
        <w:rPr>
          <w:rFonts w:ascii="Arial" w:hAnsi="Arial" w:cs="Arial"/>
          <w:sz w:val="24"/>
          <w:szCs w:val="24"/>
        </w:rPr>
        <w:t>out further information security assessments.</w:t>
      </w:r>
    </w:p>
    <w:p w14:paraId="100154B1" w14:textId="52E3E928" w:rsidR="004A0092" w:rsidRPr="00111F24" w:rsidRDefault="004A0092" w:rsidP="00111F24">
      <w:pPr>
        <w:pStyle w:val="ListParagraph"/>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230"/>
        <w:gridCol w:w="7786"/>
      </w:tblGrid>
      <w:tr w:rsidR="004A0092" w:rsidRPr="00111F24" w14:paraId="671E8CF6" w14:textId="77777777" w:rsidTr="004A0092">
        <w:tc>
          <w:tcPr>
            <w:tcW w:w="988" w:type="dxa"/>
          </w:tcPr>
          <w:p w14:paraId="731EFD9D" w14:textId="5036715E" w:rsidR="004A0092" w:rsidRPr="00111F24" w:rsidRDefault="004A0092" w:rsidP="00111F24">
            <w:pPr>
              <w:rPr>
                <w:rFonts w:ascii="Arial" w:hAnsi="Arial" w:cs="Arial"/>
                <w:b/>
                <w:sz w:val="24"/>
                <w:szCs w:val="24"/>
              </w:rPr>
            </w:pPr>
            <w:r w:rsidRPr="00111F24">
              <w:rPr>
                <w:rFonts w:ascii="Arial" w:hAnsi="Arial" w:cs="Arial"/>
                <w:b/>
                <w:sz w:val="24"/>
                <w:szCs w:val="24"/>
              </w:rPr>
              <w:t>Indicator</w:t>
            </w:r>
          </w:p>
        </w:tc>
        <w:tc>
          <w:tcPr>
            <w:tcW w:w="8028" w:type="dxa"/>
          </w:tcPr>
          <w:p w14:paraId="06F4599D" w14:textId="3B797B4B" w:rsidR="004A0092" w:rsidRPr="00111F24" w:rsidRDefault="004A0092" w:rsidP="00111F24">
            <w:pPr>
              <w:rPr>
                <w:rFonts w:ascii="Arial" w:hAnsi="Arial" w:cs="Arial"/>
                <w:b/>
                <w:sz w:val="24"/>
                <w:szCs w:val="24"/>
              </w:rPr>
            </w:pPr>
            <w:r w:rsidRPr="00111F24">
              <w:rPr>
                <w:rFonts w:ascii="Arial" w:hAnsi="Arial" w:cs="Arial"/>
                <w:b/>
                <w:sz w:val="24"/>
                <w:szCs w:val="24"/>
              </w:rPr>
              <w:t>What does this mean for your project/service?</w:t>
            </w:r>
          </w:p>
        </w:tc>
      </w:tr>
      <w:tr w:rsidR="004A0092" w:rsidRPr="00111F24" w14:paraId="613BB80F" w14:textId="77777777" w:rsidTr="004A0092">
        <w:tc>
          <w:tcPr>
            <w:tcW w:w="988" w:type="dxa"/>
          </w:tcPr>
          <w:p w14:paraId="631029E9" w14:textId="3362AA4C" w:rsidR="004A0092" w:rsidRPr="00111F24" w:rsidRDefault="004A0092" w:rsidP="00111F24">
            <w:pPr>
              <w:rPr>
                <w:rFonts w:ascii="Arial" w:hAnsi="Arial" w:cs="Arial"/>
                <w:sz w:val="24"/>
                <w:szCs w:val="24"/>
              </w:rPr>
            </w:pPr>
            <w:r w:rsidRPr="00111F24">
              <w:rPr>
                <w:rFonts w:ascii="Arial" w:hAnsi="Arial" w:cs="Arial"/>
                <w:color w:val="FF0000"/>
                <w:sz w:val="24"/>
                <w:szCs w:val="24"/>
              </w:rPr>
              <w:t>RED</w:t>
            </w:r>
          </w:p>
        </w:tc>
        <w:tc>
          <w:tcPr>
            <w:tcW w:w="8028" w:type="dxa"/>
          </w:tcPr>
          <w:p w14:paraId="7E24B4DF" w14:textId="1B8593E8" w:rsidR="004A0092" w:rsidRPr="00111F24" w:rsidRDefault="004A0092" w:rsidP="00111F24">
            <w:pPr>
              <w:rPr>
                <w:rFonts w:ascii="Arial" w:hAnsi="Arial" w:cs="Arial"/>
                <w:sz w:val="24"/>
                <w:szCs w:val="24"/>
              </w:rPr>
            </w:pPr>
            <w:r w:rsidRPr="00111F24">
              <w:rPr>
                <w:rFonts w:ascii="Arial" w:hAnsi="Arial" w:cs="Arial"/>
                <w:sz w:val="24"/>
                <w:szCs w:val="24"/>
              </w:rPr>
              <w:t xml:space="preserve">STOP- the privacy risks raised are considerable and/or there are significant ‘unknowns’ </w:t>
            </w:r>
            <w:r w:rsidR="007F774A" w:rsidRPr="00111F24">
              <w:rPr>
                <w:rFonts w:ascii="Arial" w:hAnsi="Arial" w:cs="Arial"/>
                <w:sz w:val="24"/>
                <w:szCs w:val="24"/>
              </w:rPr>
              <w:t>in regard to the impact on people or corporate reputation. The personal or otherwise sensitive data processing aspects of the project/service should not go ahead until these are mitigated</w:t>
            </w:r>
            <w:r w:rsidR="004F7255" w:rsidRPr="00111F24">
              <w:rPr>
                <w:rFonts w:ascii="Arial" w:hAnsi="Arial" w:cs="Arial"/>
                <w:sz w:val="24"/>
                <w:szCs w:val="24"/>
              </w:rPr>
              <w:t xml:space="preserve"> satisfactorily</w:t>
            </w:r>
            <w:r w:rsidR="007F774A" w:rsidRPr="00111F24">
              <w:rPr>
                <w:rFonts w:ascii="Arial" w:hAnsi="Arial" w:cs="Arial"/>
                <w:sz w:val="24"/>
                <w:szCs w:val="24"/>
              </w:rPr>
              <w:t xml:space="preserve">. In the case of existing services, </w:t>
            </w:r>
            <w:r w:rsidR="001B1C83" w:rsidRPr="00111F24">
              <w:rPr>
                <w:rFonts w:ascii="Arial" w:hAnsi="Arial" w:cs="Arial"/>
                <w:sz w:val="24"/>
                <w:szCs w:val="24"/>
              </w:rPr>
              <w:t>the DPO will weigh up the risks of not having personal data available</w:t>
            </w:r>
            <w:r w:rsidR="00650497" w:rsidRPr="00111F24">
              <w:rPr>
                <w:rFonts w:ascii="Arial" w:hAnsi="Arial" w:cs="Arial"/>
                <w:sz w:val="24"/>
                <w:szCs w:val="24"/>
              </w:rPr>
              <w:t xml:space="preserve"> for services versus the risk to privacy.</w:t>
            </w:r>
          </w:p>
        </w:tc>
      </w:tr>
      <w:tr w:rsidR="004A0092" w:rsidRPr="00111F24" w14:paraId="360044CD" w14:textId="77777777" w:rsidTr="004A0092">
        <w:tc>
          <w:tcPr>
            <w:tcW w:w="988" w:type="dxa"/>
          </w:tcPr>
          <w:p w14:paraId="4B110AC3" w14:textId="42DC1793" w:rsidR="004A0092" w:rsidRPr="00111F24" w:rsidRDefault="004A0092" w:rsidP="00111F24">
            <w:pPr>
              <w:rPr>
                <w:rFonts w:ascii="Arial" w:hAnsi="Arial" w:cs="Arial"/>
                <w:sz w:val="24"/>
                <w:szCs w:val="24"/>
              </w:rPr>
            </w:pPr>
            <w:r w:rsidRPr="00111F24">
              <w:rPr>
                <w:rFonts w:ascii="Arial" w:hAnsi="Arial" w:cs="Arial"/>
                <w:color w:val="C45911" w:themeColor="accent2" w:themeShade="BF"/>
                <w:sz w:val="24"/>
                <w:szCs w:val="24"/>
              </w:rPr>
              <w:t>AMBER</w:t>
            </w:r>
          </w:p>
        </w:tc>
        <w:tc>
          <w:tcPr>
            <w:tcW w:w="8028" w:type="dxa"/>
          </w:tcPr>
          <w:p w14:paraId="67D6C995" w14:textId="27349EA5" w:rsidR="004A0092" w:rsidRPr="00111F24" w:rsidRDefault="007F774A" w:rsidP="00111F24">
            <w:pPr>
              <w:rPr>
                <w:rFonts w:ascii="Arial" w:hAnsi="Arial" w:cs="Arial"/>
                <w:sz w:val="24"/>
                <w:szCs w:val="24"/>
              </w:rPr>
            </w:pPr>
            <w:r w:rsidRPr="00111F24">
              <w:rPr>
                <w:rFonts w:ascii="Arial" w:hAnsi="Arial" w:cs="Arial"/>
                <w:sz w:val="24"/>
                <w:szCs w:val="24"/>
              </w:rPr>
              <w:t xml:space="preserve">PREPARE TO GO AHEAD – There are some recommendations which should be acted upon within a certain timeframe to reduce privacy and security risks further. </w:t>
            </w:r>
          </w:p>
        </w:tc>
      </w:tr>
      <w:tr w:rsidR="004A0092" w:rsidRPr="00111F24" w14:paraId="3F5A8AB4" w14:textId="77777777" w:rsidTr="004A0092">
        <w:tc>
          <w:tcPr>
            <w:tcW w:w="988" w:type="dxa"/>
          </w:tcPr>
          <w:p w14:paraId="435C46FC" w14:textId="651CC862" w:rsidR="004A0092" w:rsidRPr="00111F24" w:rsidRDefault="004A0092" w:rsidP="00111F24">
            <w:pPr>
              <w:rPr>
                <w:rFonts w:ascii="Arial" w:hAnsi="Arial" w:cs="Arial"/>
                <w:sz w:val="24"/>
                <w:szCs w:val="24"/>
              </w:rPr>
            </w:pPr>
            <w:r w:rsidRPr="00111F24">
              <w:rPr>
                <w:rFonts w:ascii="Arial" w:hAnsi="Arial" w:cs="Arial"/>
                <w:color w:val="538135" w:themeColor="accent6" w:themeShade="BF"/>
                <w:sz w:val="24"/>
                <w:szCs w:val="24"/>
              </w:rPr>
              <w:lastRenderedPageBreak/>
              <w:t>GREEN</w:t>
            </w:r>
          </w:p>
        </w:tc>
        <w:tc>
          <w:tcPr>
            <w:tcW w:w="8028" w:type="dxa"/>
          </w:tcPr>
          <w:p w14:paraId="461C1B92" w14:textId="2394CE78" w:rsidR="004A0092" w:rsidRPr="00111F24" w:rsidRDefault="007F774A" w:rsidP="00111F24">
            <w:pPr>
              <w:rPr>
                <w:rFonts w:ascii="Arial" w:hAnsi="Arial" w:cs="Arial"/>
                <w:sz w:val="24"/>
                <w:szCs w:val="24"/>
              </w:rPr>
            </w:pPr>
            <w:r w:rsidRPr="00111F24">
              <w:rPr>
                <w:rFonts w:ascii="Arial" w:hAnsi="Arial" w:cs="Arial"/>
                <w:sz w:val="24"/>
                <w:szCs w:val="24"/>
              </w:rPr>
              <w:t>GO AHEAD – The project/service’s personal or sensitive data processing aspects can go ahead as outlined. There still may be some minor best practice recommendations.</w:t>
            </w:r>
          </w:p>
        </w:tc>
      </w:tr>
    </w:tbl>
    <w:p w14:paraId="095B5EE7" w14:textId="77777777" w:rsidR="00874671" w:rsidRDefault="00874671" w:rsidP="00874671">
      <w:pPr>
        <w:pStyle w:val="ListParagraph"/>
        <w:spacing w:after="0" w:line="240" w:lineRule="auto"/>
        <w:rPr>
          <w:rFonts w:ascii="Arial" w:hAnsi="Arial" w:cs="Arial"/>
          <w:b/>
          <w:sz w:val="24"/>
          <w:szCs w:val="24"/>
        </w:rPr>
      </w:pPr>
    </w:p>
    <w:p w14:paraId="14C98315" w14:textId="5A8C7799" w:rsidR="00E2047E" w:rsidRDefault="007F774A" w:rsidP="00874671">
      <w:pPr>
        <w:pStyle w:val="ListParagraph"/>
        <w:spacing w:after="0" w:line="240" w:lineRule="auto"/>
        <w:ind w:left="0"/>
        <w:rPr>
          <w:rFonts w:ascii="Arial" w:hAnsi="Arial" w:cs="Arial"/>
          <w:b/>
          <w:sz w:val="24"/>
          <w:szCs w:val="24"/>
        </w:rPr>
      </w:pPr>
      <w:r w:rsidRPr="00111F24">
        <w:rPr>
          <w:rFonts w:ascii="Arial" w:hAnsi="Arial" w:cs="Arial"/>
          <w:b/>
          <w:sz w:val="24"/>
          <w:szCs w:val="24"/>
        </w:rPr>
        <w:t>Final agreement</w:t>
      </w:r>
      <w:r w:rsidR="00874671">
        <w:rPr>
          <w:rFonts w:ascii="Arial" w:hAnsi="Arial" w:cs="Arial"/>
          <w:b/>
          <w:sz w:val="24"/>
          <w:szCs w:val="24"/>
        </w:rPr>
        <w:t>, sign-off</w:t>
      </w:r>
      <w:r w:rsidRPr="00111F24">
        <w:rPr>
          <w:rFonts w:ascii="Arial" w:hAnsi="Arial" w:cs="Arial"/>
          <w:b/>
          <w:sz w:val="24"/>
          <w:szCs w:val="24"/>
        </w:rPr>
        <w:t xml:space="preserve"> and review</w:t>
      </w:r>
    </w:p>
    <w:p w14:paraId="72217C17" w14:textId="77777777" w:rsidR="00874671" w:rsidRPr="00111F24" w:rsidRDefault="00874671" w:rsidP="00874671">
      <w:pPr>
        <w:pStyle w:val="ListParagraph"/>
        <w:spacing w:after="0" w:line="240" w:lineRule="auto"/>
        <w:ind w:left="0"/>
        <w:rPr>
          <w:rFonts w:ascii="Arial" w:hAnsi="Arial" w:cs="Arial"/>
          <w:b/>
          <w:sz w:val="24"/>
          <w:szCs w:val="24"/>
        </w:rPr>
      </w:pPr>
    </w:p>
    <w:p w14:paraId="21A68E93" w14:textId="401733C9" w:rsidR="00E2047E" w:rsidRDefault="007F774A" w:rsidP="004E57DA">
      <w:pPr>
        <w:pStyle w:val="ListParagraph"/>
        <w:numPr>
          <w:ilvl w:val="0"/>
          <w:numId w:val="23"/>
        </w:numPr>
        <w:spacing w:after="0" w:line="240" w:lineRule="auto"/>
        <w:rPr>
          <w:rFonts w:ascii="Arial" w:hAnsi="Arial" w:cs="Arial"/>
          <w:sz w:val="24"/>
          <w:szCs w:val="24"/>
        </w:rPr>
      </w:pPr>
      <w:r w:rsidRPr="004E57DA">
        <w:rPr>
          <w:rFonts w:ascii="Arial" w:hAnsi="Arial" w:cs="Arial"/>
          <w:sz w:val="24"/>
          <w:szCs w:val="24"/>
        </w:rPr>
        <w:t>After the DPO feed-back, you need to summarise the action which was taken (or time</w:t>
      </w:r>
      <w:r w:rsidR="00077D18">
        <w:rPr>
          <w:rFonts w:ascii="Arial" w:hAnsi="Arial" w:cs="Arial"/>
          <w:sz w:val="24"/>
          <w:szCs w:val="24"/>
        </w:rPr>
        <w:t xml:space="preserve"> </w:t>
      </w:r>
      <w:r w:rsidRPr="004E57DA">
        <w:rPr>
          <w:rFonts w:ascii="Arial" w:hAnsi="Arial" w:cs="Arial"/>
          <w:sz w:val="24"/>
          <w:szCs w:val="24"/>
        </w:rPr>
        <w:t xml:space="preserve">frame for action in future). </w:t>
      </w:r>
    </w:p>
    <w:p w14:paraId="01D99AB9" w14:textId="77777777" w:rsidR="004E57DA" w:rsidRDefault="004E57DA" w:rsidP="004E57DA">
      <w:pPr>
        <w:pStyle w:val="ListParagraph"/>
        <w:spacing w:after="0" w:line="240" w:lineRule="auto"/>
        <w:rPr>
          <w:rFonts w:ascii="Arial" w:hAnsi="Arial" w:cs="Arial"/>
          <w:sz w:val="24"/>
          <w:szCs w:val="24"/>
        </w:rPr>
      </w:pPr>
    </w:p>
    <w:p w14:paraId="126B0388" w14:textId="5533A06C" w:rsidR="007F774A" w:rsidRDefault="007F774A" w:rsidP="00111F24">
      <w:pPr>
        <w:pStyle w:val="ListParagraph"/>
        <w:numPr>
          <w:ilvl w:val="0"/>
          <w:numId w:val="23"/>
        </w:numPr>
        <w:spacing w:after="0" w:line="240" w:lineRule="auto"/>
        <w:rPr>
          <w:rFonts w:ascii="Arial" w:hAnsi="Arial" w:cs="Arial"/>
          <w:sz w:val="24"/>
          <w:szCs w:val="24"/>
        </w:rPr>
      </w:pPr>
      <w:r w:rsidRPr="004E57DA">
        <w:rPr>
          <w:rFonts w:ascii="Arial" w:hAnsi="Arial" w:cs="Arial"/>
          <w:sz w:val="24"/>
          <w:szCs w:val="24"/>
        </w:rPr>
        <w:t xml:space="preserve">In the case of </w:t>
      </w:r>
      <w:r w:rsidR="001B1C83" w:rsidRPr="004E57DA">
        <w:rPr>
          <w:rFonts w:ascii="Arial" w:hAnsi="Arial" w:cs="Arial"/>
          <w:sz w:val="24"/>
          <w:szCs w:val="24"/>
        </w:rPr>
        <w:t>a</w:t>
      </w:r>
      <w:r w:rsidRPr="004E57DA">
        <w:rPr>
          <w:rFonts w:ascii="Arial" w:hAnsi="Arial" w:cs="Arial"/>
          <w:sz w:val="24"/>
          <w:szCs w:val="24"/>
        </w:rPr>
        <w:t xml:space="preserve"> RED rating</w:t>
      </w:r>
      <w:r w:rsidR="001B1C83" w:rsidRPr="004E57DA">
        <w:rPr>
          <w:rFonts w:ascii="Arial" w:hAnsi="Arial" w:cs="Arial"/>
          <w:sz w:val="24"/>
          <w:szCs w:val="24"/>
        </w:rPr>
        <w:t xml:space="preserve"> for a new project/service</w:t>
      </w:r>
      <w:r w:rsidRPr="004E57DA">
        <w:rPr>
          <w:rFonts w:ascii="Arial" w:hAnsi="Arial" w:cs="Arial"/>
          <w:sz w:val="24"/>
          <w:szCs w:val="24"/>
        </w:rPr>
        <w:t xml:space="preserve">, the DPO will need to be </w:t>
      </w:r>
      <w:r w:rsidR="001B1C83" w:rsidRPr="004E57DA">
        <w:rPr>
          <w:rFonts w:ascii="Arial" w:hAnsi="Arial" w:cs="Arial"/>
          <w:sz w:val="24"/>
          <w:szCs w:val="24"/>
        </w:rPr>
        <w:t xml:space="preserve">satisfied with the action taken in order to be </w:t>
      </w:r>
      <w:r w:rsidRPr="004E57DA">
        <w:rPr>
          <w:rFonts w:ascii="Arial" w:hAnsi="Arial" w:cs="Arial"/>
          <w:sz w:val="24"/>
          <w:szCs w:val="24"/>
        </w:rPr>
        <w:t>able to change this rating to AMBER or GREEN before the personal or otherwise sensitive data processing</w:t>
      </w:r>
      <w:r w:rsidR="001B1C83" w:rsidRPr="004E57DA">
        <w:rPr>
          <w:rFonts w:ascii="Arial" w:hAnsi="Arial" w:cs="Arial"/>
          <w:sz w:val="24"/>
          <w:szCs w:val="24"/>
        </w:rPr>
        <w:t xml:space="preserve"> can proceed</w:t>
      </w:r>
      <w:r w:rsidRPr="004E57DA">
        <w:rPr>
          <w:rFonts w:ascii="Arial" w:hAnsi="Arial" w:cs="Arial"/>
          <w:sz w:val="24"/>
          <w:szCs w:val="24"/>
        </w:rPr>
        <w:t>.</w:t>
      </w:r>
      <w:r w:rsidR="001B1C83" w:rsidRPr="004E57DA">
        <w:rPr>
          <w:rFonts w:ascii="Arial" w:hAnsi="Arial" w:cs="Arial"/>
          <w:sz w:val="24"/>
          <w:szCs w:val="24"/>
        </w:rPr>
        <w:t xml:space="preserve"> In the case of an existing service, the availability and business continuity aspects will be considered.</w:t>
      </w:r>
    </w:p>
    <w:p w14:paraId="389E3F41" w14:textId="77777777" w:rsidR="003844D7" w:rsidRDefault="003844D7" w:rsidP="003844D7">
      <w:pPr>
        <w:pStyle w:val="ListParagraph"/>
        <w:spacing w:after="0" w:line="240" w:lineRule="auto"/>
        <w:rPr>
          <w:rFonts w:ascii="Arial" w:hAnsi="Arial" w:cs="Arial"/>
          <w:sz w:val="24"/>
          <w:szCs w:val="24"/>
        </w:rPr>
      </w:pPr>
    </w:p>
    <w:p w14:paraId="74D26496" w14:textId="72E396E3" w:rsidR="00E2047E" w:rsidRDefault="001B1C83" w:rsidP="00111F24">
      <w:pPr>
        <w:pStyle w:val="ListParagraph"/>
        <w:numPr>
          <w:ilvl w:val="0"/>
          <w:numId w:val="23"/>
        </w:numPr>
        <w:spacing w:after="0" w:line="240" w:lineRule="auto"/>
        <w:rPr>
          <w:rFonts w:ascii="Arial" w:hAnsi="Arial" w:cs="Arial"/>
          <w:sz w:val="24"/>
          <w:szCs w:val="24"/>
        </w:rPr>
      </w:pPr>
      <w:r w:rsidRPr="003844D7">
        <w:rPr>
          <w:rFonts w:ascii="Arial" w:hAnsi="Arial" w:cs="Arial"/>
          <w:sz w:val="24"/>
          <w:szCs w:val="24"/>
        </w:rPr>
        <w:t>There needs to be formal sign off, and in any cases where the organisation’s DPO is overruled</w:t>
      </w:r>
      <w:r w:rsidR="004549C4">
        <w:rPr>
          <w:rFonts w:ascii="Arial" w:hAnsi="Arial" w:cs="Arial"/>
          <w:sz w:val="24"/>
          <w:szCs w:val="24"/>
        </w:rPr>
        <w:t xml:space="preserve"> (e.g. where the project/service needs to be implemented urgently, but the technology does not meet requisite security standards), </w:t>
      </w:r>
      <w:r w:rsidRPr="003844D7">
        <w:rPr>
          <w:rFonts w:ascii="Arial" w:hAnsi="Arial" w:cs="Arial"/>
          <w:sz w:val="24"/>
          <w:szCs w:val="24"/>
        </w:rPr>
        <w:t xml:space="preserve">this needs to be evidenced and </w:t>
      </w:r>
      <w:r w:rsidR="00B07871" w:rsidRPr="003844D7">
        <w:rPr>
          <w:rFonts w:ascii="Arial" w:hAnsi="Arial" w:cs="Arial"/>
          <w:sz w:val="24"/>
          <w:szCs w:val="24"/>
        </w:rPr>
        <w:t xml:space="preserve">may need to be </w:t>
      </w:r>
      <w:r w:rsidRPr="003844D7">
        <w:rPr>
          <w:rFonts w:ascii="Arial" w:hAnsi="Arial" w:cs="Arial"/>
          <w:sz w:val="24"/>
          <w:szCs w:val="24"/>
        </w:rPr>
        <w:t>shared with</w:t>
      </w:r>
      <w:r w:rsidR="00077D18">
        <w:rPr>
          <w:rFonts w:ascii="Arial" w:hAnsi="Arial" w:cs="Arial"/>
          <w:sz w:val="24"/>
          <w:szCs w:val="24"/>
        </w:rPr>
        <w:t xml:space="preserve"> the</w:t>
      </w:r>
      <w:r w:rsidRPr="003844D7">
        <w:rPr>
          <w:rFonts w:ascii="Arial" w:hAnsi="Arial" w:cs="Arial"/>
          <w:sz w:val="24"/>
          <w:szCs w:val="24"/>
        </w:rPr>
        <w:t xml:space="preserve"> </w:t>
      </w:r>
      <w:r w:rsidR="004549C4">
        <w:rPr>
          <w:rFonts w:ascii="Arial" w:hAnsi="Arial" w:cs="Arial"/>
          <w:sz w:val="24"/>
          <w:szCs w:val="24"/>
        </w:rPr>
        <w:t>Information Commissioner’s Office</w:t>
      </w:r>
      <w:r w:rsidR="00D92A17">
        <w:rPr>
          <w:rFonts w:ascii="Arial" w:hAnsi="Arial" w:cs="Arial"/>
          <w:sz w:val="24"/>
          <w:szCs w:val="24"/>
        </w:rPr>
        <w:t xml:space="preserve"> (ICO)</w:t>
      </w:r>
      <w:r w:rsidRPr="003844D7">
        <w:rPr>
          <w:rFonts w:ascii="Arial" w:hAnsi="Arial" w:cs="Arial"/>
          <w:sz w:val="24"/>
          <w:szCs w:val="24"/>
        </w:rPr>
        <w:t xml:space="preserve"> in event of a </w:t>
      </w:r>
      <w:r w:rsidR="004549C4">
        <w:rPr>
          <w:rFonts w:ascii="Arial" w:hAnsi="Arial" w:cs="Arial"/>
          <w:sz w:val="24"/>
          <w:szCs w:val="24"/>
        </w:rPr>
        <w:t xml:space="preserve">data breach which leads to formal notification to the ICO and </w:t>
      </w:r>
      <w:r w:rsidR="00D92A17">
        <w:rPr>
          <w:rFonts w:ascii="Arial" w:hAnsi="Arial" w:cs="Arial"/>
          <w:sz w:val="24"/>
          <w:szCs w:val="24"/>
        </w:rPr>
        <w:t xml:space="preserve">a subsequent </w:t>
      </w:r>
      <w:r w:rsidRPr="003844D7">
        <w:rPr>
          <w:rFonts w:ascii="Arial" w:hAnsi="Arial" w:cs="Arial"/>
          <w:sz w:val="24"/>
          <w:szCs w:val="24"/>
        </w:rPr>
        <w:t>compliance investigation.</w:t>
      </w:r>
    </w:p>
    <w:p w14:paraId="2EDCE682" w14:textId="77777777" w:rsidR="003844D7" w:rsidRDefault="003844D7" w:rsidP="003844D7">
      <w:pPr>
        <w:pStyle w:val="ListParagraph"/>
        <w:spacing w:after="0" w:line="240" w:lineRule="auto"/>
        <w:rPr>
          <w:rFonts w:ascii="Arial" w:hAnsi="Arial" w:cs="Arial"/>
          <w:sz w:val="24"/>
          <w:szCs w:val="24"/>
        </w:rPr>
      </w:pPr>
    </w:p>
    <w:p w14:paraId="4B49C14A" w14:textId="45568FFF" w:rsidR="001B1C83" w:rsidRDefault="001B1C83" w:rsidP="00111F24">
      <w:pPr>
        <w:pStyle w:val="ListParagraph"/>
        <w:numPr>
          <w:ilvl w:val="0"/>
          <w:numId w:val="23"/>
        </w:numPr>
        <w:spacing w:after="0" w:line="240" w:lineRule="auto"/>
        <w:rPr>
          <w:rFonts w:ascii="Arial" w:hAnsi="Arial" w:cs="Arial"/>
          <w:sz w:val="24"/>
          <w:szCs w:val="24"/>
        </w:rPr>
      </w:pPr>
      <w:r w:rsidRPr="003844D7">
        <w:rPr>
          <w:rFonts w:ascii="Arial" w:hAnsi="Arial" w:cs="Arial"/>
          <w:sz w:val="24"/>
          <w:szCs w:val="24"/>
        </w:rPr>
        <w:t>Finally, you need to indicate when you intend to review the DPIA (e.g. at least annually). Information security assurance is a continual process, and you need to identify and manage risks as the service progresses.</w:t>
      </w:r>
    </w:p>
    <w:p w14:paraId="24DEFD42" w14:textId="77777777" w:rsidR="00A34A1C" w:rsidRDefault="00A34A1C" w:rsidP="00A34A1C">
      <w:pPr>
        <w:pStyle w:val="ListParagraph"/>
        <w:spacing w:after="0" w:line="240" w:lineRule="auto"/>
        <w:rPr>
          <w:rFonts w:ascii="Arial" w:hAnsi="Arial" w:cs="Arial"/>
          <w:sz w:val="24"/>
          <w:szCs w:val="24"/>
        </w:rPr>
      </w:pPr>
    </w:p>
    <w:p w14:paraId="1B44603B" w14:textId="292C7E2B" w:rsidR="00D92A17" w:rsidRDefault="001B1C83" w:rsidP="00A34A1C">
      <w:pPr>
        <w:pStyle w:val="ListParagraph"/>
        <w:numPr>
          <w:ilvl w:val="0"/>
          <w:numId w:val="23"/>
        </w:numPr>
        <w:spacing w:after="0" w:line="240" w:lineRule="auto"/>
        <w:rPr>
          <w:rFonts w:ascii="Arial" w:hAnsi="Arial" w:cs="Arial"/>
          <w:sz w:val="24"/>
          <w:szCs w:val="24"/>
        </w:rPr>
      </w:pPr>
      <w:r w:rsidRPr="00A34A1C">
        <w:rPr>
          <w:rFonts w:ascii="Arial" w:hAnsi="Arial" w:cs="Arial"/>
          <w:sz w:val="24"/>
          <w:szCs w:val="24"/>
        </w:rPr>
        <w:t xml:space="preserve">Often a project/service that needs to process personal data is so successful that there is a desire to change scope and perhaps start to collect more types of personal data or share substantially more data with partners as confidence and trust develop across organisations. </w:t>
      </w:r>
    </w:p>
    <w:p w14:paraId="2AF0FD15" w14:textId="77777777" w:rsidR="00D92A17" w:rsidRDefault="00D92A17" w:rsidP="00D92A17">
      <w:pPr>
        <w:pStyle w:val="ListParagraph"/>
        <w:spacing w:after="0" w:line="240" w:lineRule="auto"/>
        <w:ind w:left="1077"/>
        <w:rPr>
          <w:rFonts w:ascii="Arial" w:hAnsi="Arial" w:cs="Arial"/>
          <w:sz w:val="24"/>
          <w:szCs w:val="24"/>
        </w:rPr>
      </w:pPr>
    </w:p>
    <w:p w14:paraId="7CF01FE8" w14:textId="727DDB0F" w:rsidR="001B1C83" w:rsidRDefault="00D92A17" w:rsidP="00A34A1C">
      <w:pPr>
        <w:pStyle w:val="ListParagraph"/>
        <w:numPr>
          <w:ilvl w:val="0"/>
          <w:numId w:val="23"/>
        </w:numPr>
        <w:spacing w:after="0" w:line="240" w:lineRule="auto"/>
        <w:rPr>
          <w:rFonts w:ascii="Arial" w:hAnsi="Arial" w:cs="Arial"/>
          <w:sz w:val="24"/>
          <w:szCs w:val="24"/>
        </w:rPr>
      </w:pPr>
      <w:r>
        <w:rPr>
          <w:rFonts w:ascii="Arial" w:hAnsi="Arial" w:cs="Arial"/>
          <w:sz w:val="24"/>
          <w:szCs w:val="24"/>
        </w:rPr>
        <w:t>Whilst t</w:t>
      </w:r>
      <w:r w:rsidR="001B1C83" w:rsidRPr="00A34A1C">
        <w:rPr>
          <w:rFonts w:ascii="Arial" w:hAnsi="Arial" w:cs="Arial"/>
          <w:sz w:val="24"/>
          <w:szCs w:val="24"/>
        </w:rPr>
        <w:t xml:space="preserve">his is acceptable, you </w:t>
      </w:r>
      <w:r>
        <w:rPr>
          <w:rFonts w:ascii="Arial" w:hAnsi="Arial" w:cs="Arial"/>
          <w:sz w:val="24"/>
          <w:szCs w:val="24"/>
        </w:rPr>
        <w:t xml:space="preserve">will </w:t>
      </w:r>
      <w:r w:rsidR="001B1C83" w:rsidRPr="00A34A1C">
        <w:rPr>
          <w:rFonts w:ascii="Arial" w:hAnsi="Arial" w:cs="Arial"/>
          <w:sz w:val="24"/>
          <w:szCs w:val="24"/>
        </w:rPr>
        <w:t xml:space="preserve">need to look again at your DPIA to see whether </w:t>
      </w:r>
      <w:r w:rsidR="00077D18">
        <w:rPr>
          <w:rFonts w:ascii="Arial" w:hAnsi="Arial" w:cs="Arial"/>
          <w:sz w:val="24"/>
          <w:szCs w:val="24"/>
        </w:rPr>
        <w:t>it needs revising</w:t>
      </w:r>
      <w:r w:rsidR="001B1C83" w:rsidRPr="00A34A1C">
        <w:rPr>
          <w:rFonts w:ascii="Arial" w:hAnsi="Arial" w:cs="Arial"/>
          <w:sz w:val="24"/>
          <w:szCs w:val="24"/>
        </w:rPr>
        <w:t xml:space="preserve">. For example, if the project/service had previously only ever processed names, addresses and payment details, but you now wish to collect ethnic/racial details as well, then you would need to look again at the DPIA as this risk profile relating to what is special category data is now much higher. If in doubt, ask </w:t>
      </w:r>
      <w:r w:rsidR="00077D18">
        <w:rPr>
          <w:rFonts w:ascii="Arial" w:hAnsi="Arial" w:cs="Arial"/>
          <w:sz w:val="24"/>
          <w:szCs w:val="24"/>
        </w:rPr>
        <w:t xml:space="preserve">for </w:t>
      </w:r>
      <w:r w:rsidR="001B1C83" w:rsidRPr="00A34A1C">
        <w:rPr>
          <w:rFonts w:ascii="Arial" w:hAnsi="Arial" w:cs="Arial"/>
          <w:sz w:val="24"/>
          <w:szCs w:val="24"/>
        </w:rPr>
        <w:t>advice from the Data Protection Officer.</w:t>
      </w:r>
    </w:p>
    <w:p w14:paraId="6AE667AC" w14:textId="233BEBAB" w:rsidR="00A34A1C" w:rsidRPr="00A34A1C" w:rsidRDefault="00A34A1C" w:rsidP="00A34A1C">
      <w:pPr>
        <w:rPr>
          <w:rFonts w:ascii="Arial" w:hAnsi="Arial" w:cs="Arial"/>
          <w:sz w:val="24"/>
          <w:szCs w:val="24"/>
        </w:rPr>
      </w:pPr>
      <w:r>
        <w:rPr>
          <w:rFonts w:ascii="Arial" w:hAnsi="Arial" w:cs="Arial"/>
          <w:sz w:val="24"/>
          <w:szCs w:val="24"/>
        </w:rPr>
        <w:br w:type="page"/>
      </w:r>
    </w:p>
    <w:p w14:paraId="58464B55" w14:textId="77777777" w:rsidR="006B190D" w:rsidRPr="00111F24" w:rsidRDefault="006B190D" w:rsidP="00111F24">
      <w:pPr>
        <w:pBdr>
          <w:bottom w:val="single" w:sz="6" w:space="1" w:color="auto"/>
        </w:pBdr>
        <w:spacing w:after="0" w:line="240" w:lineRule="auto"/>
        <w:rPr>
          <w:rFonts w:ascii="Arial" w:hAnsi="Arial" w:cs="Arial"/>
          <w:sz w:val="24"/>
          <w:szCs w:val="24"/>
        </w:rPr>
      </w:pPr>
    </w:p>
    <w:p w14:paraId="0E99E444" w14:textId="536DBF32" w:rsidR="001B1C83" w:rsidRPr="00111F24" w:rsidRDefault="004F7255" w:rsidP="00111F24">
      <w:pPr>
        <w:spacing w:after="0" w:line="240" w:lineRule="auto"/>
        <w:rPr>
          <w:rFonts w:ascii="Arial" w:hAnsi="Arial" w:cs="Arial"/>
          <w:b/>
          <w:sz w:val="24"/>
          <w:szCs w:val="24"/>
        </w:rPr>
      </w:pPr>
      <w:r w:rsidRPr="00111F24">
        <w:rPr>
          <w:rFonts w:ascii="Arial" w:hAnsi="Arial" w:cs="Arial"/>
          <w:b/>
          <w:sz w:val="24"/>
          <w:szCs w:val="24"/>
        </w:rPr>
        <w:t>Annex A Classification of information by sensitivity</w:t>
      </w:r>
    </w:p>
    <w:tbl>
      <w:tblPr>
        <w:tblW w:w="0" w:type="auto"/>
        <w:tblCellMar>
          <w:left w:w="0" w:type="dxa"/>
          <w:right w:w="0" w:type="dxa"/>
        </w:tblCellMar>
        <w:tblLook w:val="04A0" w:firstRow="1" w:lastRow="0" w:firstColumn="1" w:lastColumn="0" w:noHBand="0" w:noVBand="1"/>
      </w:tblPr>
      <w:tblGrid>
        <w:gridCol w:w="2230"/>
        <w:gridCol w:w="6776"/>
      </w:tblGrid>
      <w:tr w:rsidR="004F7255" w:rsidRPr="00111F24" w14:paraId="62CA52BD" w14:textId="77777777" w:rsidTr="5E4B57BD">
        <w:tc>
          <w:tcPr>
            <w:tcW w:w="157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E9CDEE8" w14:textId="77777777" w:rsidR="004F7255" w:rsidRPr="00111F24" w:rsidRDefault="004F7255" w:rsidP="00111F24">
            <w:pPr>
              <w:spacing w:after="0" w:line="240" w:lineRule="auto"/>
              <w:rPr>
                <w:rFonts w:ascii="Arial" w:eastAsia="Calibri" w:hAnsi="Arial" w:cs="Arial"/>
                <w:b/>
                <w:color w:val="00B050"/>
                <w:sz w:val="24"/>
                <w:szCs w:val="24"/>
              </w:rPr>
            </w:pPr>
            <w:r w:rsidRPr="00111F24">
              <w:rPr>
                <w:rFonts w:ascii="Arial" w:eastAsia="Calibri" w:hAnsi="Arial" w:cs="Arial"/>
                <w:b/>
                <w:sz w:val="24"/>
                <w:szCs w:val="24"/>
              </w:rPr>
              <w:t>CLASSIFICATION</w:t>
            </w:r>
          </w:p>
        </w:tc>
        <w:tc>
          <w:tcPr>
            <w:tcW w:w="743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73204AB6" w14:textId="77777777" w:rsidR="004F7255" w:rsidRPr="00111F24" w:rsidRDefault="004F7255" w:rsidP="00111F24">
            <w:pPr>
              <w:spacing w:after="0" w:line="240" w:lineRule="auto"/>
              <w:rPr>
                <w:rFonts w:ascii="Arial" w:hAnsi="Arial" w:cs="Arial"/>
                <w:sz w:val="24"/>
                <w:szCs w:val="24"/>
              </w:rPr>
            </w:pPr>
            <w:r w:rsidRPr="00111F24">
              <w:rPr>
                <w:rFonts w:ascii="Arial" w:hAnsi="Arial" w:cs="Arial"/>
                <w:sz w:val="24"/>
                <w:szCs w:val="24"/>
              </w:rPr>
              <w:t>DESCRIPTION OF INFORMATION TYPES</w:t>
            </w:r>
          </w:p>
          <w:p w14:paraId="38DF1F8E" w14:textId="77777777" w:rsidR="004F7255" w:rsidRPr="00111F24" w:rsidRDefault="004F7255" w:rsidP="00111F24">
            <w:pPr>
              <w:spacing w:after="0" w:line="240" w:lineRule="auto"/>
              <w:rPr>
                <w:rFonts w:ascii="Arial" w:hAnsi="Arial" w:cs="Arial"/>
                <w:sz w:val="24"/>
                <w:szCs w:val="24"/>
              </w:rPr>
            </w:pPr>
          </w:p>
        </w:tc>
      </w:tr>
      <w:tr w:rsidR="004F7255" w:rsidRPr="00111F24" w14:paraId="15D19B9B" w14:textId="77777777" w:rsidTr="5E4B57BD">
        <w:tc>
          <w:tcPr>
            <w:tcW w:w="1575" w:type="dxa"/>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tcPr>
          <w:p w14:paraId="06D519CB" w14:textId="77777777" w:rsidR="004F7255" w:rsidRPr="00111F24" w:rsidRDefault="004F7255" w:rsidP="00111F24">
            <w:pPr>
              <w:spacing w:after="0" w:line="240" w:lineRule="auto"/>
              <w:rPr>
                <w:rFonts w:ascii="Arial" w:hAnsi="Arial" w:cs="Arial"/>
                <w:b/>
                <w:color w:val="FF0000"/>
                <w:sz w:val="24"/>
                <w:szCs w:val="24"/>
              </w:rPr>
            </w:pPr>
            <w:r w:rsidRPr="00111F24">
              <w:rPr>
                <w:rFonts w:ascii="Arial" w:eastAsia="Calibri" w:hAnsi="Arial" w:cs="Arial"/>
                <w:b/>
                <w:sz w:val="24"/>
                <w:szCs w:val="24"/>
              </w:rPr>
              <w:t>GREEN</w:t>
            </w:r>
          </w:p>
        </w:tc>
        <w:tc>
          <w:tcPr>
            <w:tcW w:w="7431"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tcPr>
          <w:p w14:paraId="384B4143" w14:textId="552A8960" w:rsidR="004F7255" w:rsidRPr="00111F24" w:rsidRDefault="004F7255" w:rsidP="00111F24">
            <w:pPr>
              <w:spacing w:after="0" w:line="240" w:lineRule="auto"/>
              <w:rPr>
                <w:rFonts w:ascii="Arial" w:eastAsia="Calibri" w:hAnsi="Arial" w:cs="Arial"/>
                <w:sz w:val="24"/>
                <w:szCs w:val="24"/>
              </w:rPr>
            </w:pPr>
            <w:r w:rsidRPr="00111F24">
              <w:rPr>
                <w:rFonts w:ascii="Arial" w:hAnsi="Arial" w:cs="Arial"/>
                <w:sz w:val="24"/>
                <w:szCs w:val="24"/>
              </w:rPr>
              <w:t xml:space="preserve">No Impact - </w:t>
            </w:r>
            <w:r w:rsidRPr="00111F24">
              <w:rPr>
                <w:rFonts w:ascii="Arial" w:eastAsia="Calibri" w:hAnsi="Arial" w:cs="Arial"/>
                <w:sz w:val="24"/>
                <w:szCs w:val="24"/>
              </w:rPr>
              <w:t xml:space="preserve">Information formally made public by SCC or information which would have no impact on privacy, business, or corporate reputation if it </w:t>
            </w:r>
            <w:r w:rsidR="00625F42" w:rsidRPr="00111F24">
              <w:rPr>
                <w:rFonts w:ascii="Arial" w:eastAsia="Calibri" w:hAnsi="Arial" w:cs="Arial"/>
                <w:sz w:val="24"/>
                <w:szCs w:val="24"/>
              </w:rPr>
              <w:t>w</w:t>
            </w:r>
            <w:r w:rsidR="00625F42">
              <w:rPr>
                <w:rFonts w:ascii="Arial" w:eastAsia="Calibri" w:hAnsi="Arial" w:cs="Arial"/>
                <w:sz w:val="24"/>
                <w:szCs w:val="24"/>
              </w:rPr>
              <w:t xml:space="preserve">ere </w:t>
            </w:r>
            <w:r w:rsidRPr="00111F24">
              <w:rPr>
                <w:rFonts w:ascii="Arial" w:eastAsia="Calibri" w:hAnsi="Arial" w:cs="Arial"/>
                <w:sz w:val="24"/>
                <w:szCs w:val="24"/>
              </w:rPr>
              <w:t>to be put into the public domain by any other means.</w:t>
            </w:r>
          </w:p>
          <w:p w14:paraId="3A1369E0" w14:textId="77777777" w:rsidR="004F7255" w:rsidRPr="00111F24" w:rsidRDefault="004F7255" w:rsidP="00111F24">
            <w:pPr>
              <w:spacing w:after="0" w:line="240" w:lineRule="auto"/>
              <w:rPr>
                <w:rFonts w:ascii="Arial" w:hAnsi="Arial" w:cs="Arial"/>
                <w:sz w:val="24"/>
                <w:szCs w:val="24"/>
              </w:rPr>
            </w:pPr>
          </w:p>
        </w:tc>
      </w:tr>
      <w:tr w:rsidR="004F7255" w:rsidRPr="00111F24" w14:paraId="6F6095B3" w14:textId="77777777" w:rsidTr="5E4B57BD">
        <w:tc>
          <w:tcPr>
            <w:tcW w:w="1575" w:type="dxa"/>
            <w:vMerge w:val="restart"/>
            <w:tcBorders>
              <w:top w:val="single" w:sz="8" w:space="0" w:color="auto"/>
              <w:left w:val="single" w:sz="8" w:space="0" w:color="auto"/>
              <w:right w:val="single" w:sz="8" w:space="0" w:color="auto"/>
            </w:tcBorders>
            <w:shd w:val="clear" w:color="auto" w:fill="FFC000" w:themeFill="accent4"/>
            <w:tcMar>
              <w:top w:w="0" w:type="dxa"/>
              <w:left w:w="108" w:type="dxa"/>
              <w:bottom w:w="0" w:type="dxa"/>
              <w:right w:w="108" w:type="dxa"/>
            </w:tcMar>
          </w:tcPr>
          <w:p w14:paraId="254B4BFF" w14:textId="77777777" w:rsidR="004F7255" w:rsidRPr="00111F24" w:rsidRDefault="004F7255" w:rsidP="00111F24">
            <w:pPr>
              <w:spacing w:after="0" w:line="240" w:lineRule="auto"/>
              <w:rPr>
                <w:rFonts w:ascii="Arial" w:eastAsia="Calibri" w:hAnsi="Arial" w:cs="Arial"/>
                <w:color w:val="FFC000"/>
                <w:sz w:val="24"/>
                <w:szCs w:val="24"/>
              </w:rPr>
            </w:pPr>
          </w:p>
          <w:p w14:paraId="54AF4270" w14:textId="77777777" w:rsidR="004F7255" w:rsidRPr="00111F24" w:rsidRDefault="004F7255" w:rsidP="00111F24">
            <w:pPr>
              <w:spacing w:after="0" w:line="240" w:lineRule="auto"/>
              <w:rPr>
                <w:rFonts w:ascii="Arial" w:hAnsi="Arial" w:cs="Arial"/>
                <w:b/>
                <w:color w:val="FF0000"/>
                <w:sz w:val="24"/>
                <w:szCs w:val="24"/>
              </w:rPr>
            </w:pPr>
            <w:r w:rsidRPr="00111F24">
              <w:rPr>
                <w:rFonts w:ascii="Arial" w:eastAsia="Calibri" w:hAnsi="Arial" w:cs="Arial"/>
                <w:b/>
                <w:sz w:val="24"/>
                <w:szCs w:val="24"/>
              </w:rPr>
              <w:t>AMBER</w:t>
            </w:r>
          </w:p>
        </w:tc>
        <w:tc>
          <w:tcPr>
            <w:tcW w:w="7431" w:type="dxa"/>
            <w:tcBorders>
              <w:top w:val="single" w:sz="8" w:space="0" w:color="auto"/>
              <w:left w:val="nil"/>
              <w:bottom w:val="single" w:sz="8" w:space="0" w:color="auto"/>
              <w:right w:val="single" w:sz="8" w:space="0" w:color="auto"/>
            </w:tcBorders>
            <w:shd w:val="clear" w:color="auto" w:fill="FFC000" w:themeFill="accent4"/>
            <w:tcMar>
              <w:top w:w="0" w:type="dxa"/>
              <w:left w:w="108" w:type="dxa"/>
              <w:bottom w:w="0" w:type="dxa"/>
              <w:right w:w="108" w:type="dxa"/>
            </w:tcMar>
          </w:tcPr>
          <w:p w14:paraId="6294A37E" w14:textId="77777777" w:rsidR="004F7255" w:rsidRPr="00111F24" w:rsidRDefault="004F7255" w:rsidP="00111F24">
            <w:pPr>
              <w:spacing w:after="0" w:line="240" w:lineRule="auto"/>
              <w:rPr>
                <w:rFonts w:ascii="Arial" w:eastAsia="Calibri" w:hAnsi="Arial" w:cs="Arial"/>
                <w:sz w:val="24"/>
                <w:szCs w:val="24"/>
              </w:rPr>
            </w:pPr>
            <w:r w:rsidRPr="00111F24">
              <w:rPr>
                <w:rFonts w:ascii="Arial" w:hAnsi="Arial" w:cs="Arial"/>
                <w:sz w:val="24"/>
                <w:szCs w:val="24"/>
              </w:rPr>
              <w:t xml:space="preserve">Strictly internal or agreed partners - </w:t>
            </w:r>
            <w:r w:rsidRPr="00111F24">
              <w:rPr>
                <w:rFonts w:ascii="Arial" w:eastAsia="Calibri" w:hAnsi="Arial" w:cs="Arial"/>
                <w:sz w:val="24"/>
                <w:szCs w:val="24"/>
              </w:rPr>
              <w:t xml:space="preserve">SCC corporate information which is intended strictly for internal use by staff and agreed partners. </w:t>
            </w:r>
          </w:p>
          <w:p w14:paraId="7B510CAF" w14:textId="77777777" w:rsidR="004F7255" w:rsidRPr="00111F24" w:rsidRDefault="004F7255" w:rsidP="00111F24">
            <w:pPr>
              <w:spacing w:after="0" w:line="240" w:lineRule="auto"/>
              <w:rPr>
                <w:rFonts w:ascii="Arial" w:hAnsi="Arial" w:cs="Arial"/>
                <w:sz w:val="24"/>
                <w:szCs w:val="24"/>
              </w:rPr>
            </w:pPr>
          </w:p>
        </w:tc>
      </w:tr>
      <w:tr w:rsidR="004F7255" w:rsidRPr="00111F24" w14:paraId="1D0FDA18" w14:textId="77777777" w:rsidTr="5E4B57BD">
        <w:tc>
          <w:tcPr>
            <w:tcW w:w="1575" w:type="dxa"/>
            <w:vMerge/>
            <w:tcMar>
              <w:top w:w="0" w:type="dxa"/>
              <w:left w:w="108" w:type="dxa"/>
              <w:bottom w:w="0" w:type="dxa"/>
              <w:right w:w="108" w:type="dxa"/>
            </w:tcMar>
          </w:tcPr>
          <w:p w14:paraId="675BE53E" w14:textId="77777777" w:rsidR="004F7255" w:rsidRPr="00111F24" w:rsidRDefault="004F7255" w:rsidP="00111F24">
            <w:pPr>
              <w:spacing w:after="0" w:line="240" w:lineRule="auto"/>
              <w:rPr>
                <w:rFonts w:ascii="Arial" w:hAnsi="Arial" w:cs="Arial"/>
                <w:color w:val="FF0000"/>
                <w:sz w:val="24"/>
                <w:szCs w:val="24"/>
              </w:rPr>
            </w:pPr>
          </w:p>
        </w:tc>
        <w:tc>
          <w:tcPr>
            <w:tcW w:w="7431" w:type="dxa"/>
            <w:tcBorders>
              <w:top w:val="single" w:sz="8" w:space="0" w:color="auto"/>
              <w:left w:val="nil"/>
              <w:bottom w:val="single" w:sz="8" w:space="0" w:color="auto"/>
              <w:right w:val="single" w:sz="8" w:space="0" w:color="auto"/>
            </w:tcBorders>
            <w:shd w:val="clear" w:color="auto" w:fill="FFC000" w:themeFill="accent4"/>
            <w:tcMar>
              <w:top w:w="0" w:type="dxa"/>
              <w:left w:w="108" w:type="dxa"/>
              <w:bottom w:w="0" w:type="dxa"/>
              <w:right w:w="108" w:type="dxa"/>
            </w:tcMar>
          </w:tcPr>
          <w:p w14:paraId="4B76670C" w14:textId="77777777" w:rsidR="004F7255" w:rsidRPr="00111F24" w:rsidRDefault="004F7255" w:rsidP="00111F24">
            <w:pPr>
              <w:spacing w:after="0" w:line="240" w:lineRule="auto"/>
              <w:rPr>
                <w:rFonts w:ascii="Arial" w:eastAsia="Calibri" w:hAnsi="Arial" w:cs="Arial"/>
                <w:sz w:val="24"/>
                <w:szCs w:val="24"/>
              </w:rPr>
            </w:pPr>
            <w:r w:rsidRPr="00111F24">
              <w:rPr>
                <w:rFonts w:ascii="Arial" w:hAnsi="Arial" w:cs="Arial"/>
                <w:sz w:val="24"/>
                <w:szCs w:val="24"/>
              </w:rPr>
              <w:t xml:space="preserve">Information posing little/no risk to privacy - </w:t>
            </w:r>
            <w:r w:rsidRPr="00111F24">
              <w:rPr>
                <w:rFonts w:ascii="Arial" w:eastAsia="Calibri" w:hAnsi="Arial" w:cs="Arial"/>
                <w:sz w:val="24"/>
                <w:szCs w:val="24"/>
              </w:rPr>
              <w:t>This could also include customer names, addresses and client numbers that pose little or no risk to privacy.</w:t>
            </w:r>
          </w:p>
          <w:p w14:paraId="185C03F0" w14:textId="77777777" w:rsidR="004F7255" w:rsidRPr="00111F24" w:rsidRDefault="004F7255" w:rsidP="00111F24">
            <w:pPr>
              <w:spacing w:after="0" w:line="240" w:lineRule="auto"/>
              <w:rPr>
                <w:rFonts w:ascii="Arial" w:hAnsi="Arial" w:cs="Arial"/>
                <w:sz w:val="24"/>
                <w:szCs w:val="24"/>
              </w:rPr>
            </w:pPr>
          </w:p>
        </w:tc>
      </w:tr>
      <w:tr w:rsidR="004F7255" w:rsidRPr="00111F24" w14:paraId="1E73910F" w14:textId="77777777" w:rsidTr="5E4B57BD">
        <w:tc>
          <w:tcPr>
            <w:tcW w:w="1575" w:type="dxa"/>
            <w:vMerge w:val="restart"/>
            <w:tcBorders>
              <w:top w:val="single" w:sz="8" w:space="0" w:color="auto"/>
              <w:left w:val="single" w:sz="8" w:space="0" w:color="auto"/>
              <w:bottom w:val="single" w:sz="8" w:space="0" w:color="auto"/>
              <w:right w:val="single" w:sz="8" w:space="0" w:color="auto"/>
            </w:tcBorders>
            <w:shd w:val="clear" w:color="auto" w:fill="FF0000"/>
            <w:tcMar>
              <w:top w:w="0" w:type="dxa"/>
              <w:left w:w="108" w:type="dxa"/>
              <w:bottom w:w="0" w:type="dxa"/>
              <w:right w:w="108" w:type="dxa"/>
            </w:tcMar>
          </w:tcPr>
          <w:p w14:paraId="042E7E46" w14:textId="77777777" w:rsidR="004F7255" w:rsidRPr="00111F24" w:rsidRDefault="004F7255" w:rsidP="00111F24">
            <w:pPr>
              <w:spacing w:after="0" w:line="240" w:lineRule="auto"/>
              <w:rPr>
                <w:rFonts w:ascii="Arial" w:hAnsi="Arial" w:cs="Arial"/>
                <w:color w:val="FFFFFF"/>
                <w:sz w:val="24"/>
                <w:szCs w:val="24"/>
              </w:rPr>
            </w:pPr>
          </w:p>
          <w:p w14:paraId="06AEF5B6" w14:textId="77777777" w:rsidR="004F7255" w:rsidRPr="00111F24" w:rsidRDefault="004F7255" w:rsidP="00111F24">
            <w:pPr>
              <w:spacing w:after="0" w:line="240" w:lineRule="auto"/>
              <w:rPr>
                <w:rFonts w:ascii="Arial" w:hAnsi="Arial" w:cs="Arial"/>
                <w:color w:val="FFFFFF"/>
                <w:sz w:val="24"/>
                <w:szCs w:val="24"/>
              </w:rPr>
            </w:pPr>
          </w:p>
          <w:p w14:paraId="0114F607" w14:textId="77777777" w:rsidR="004F7255" w:rsidRPr="00111F24" w:rsidRDefault="004F7255" w:rsidP="00111F24">
            <w:pPr>
              <w:spacing w:after="0" w:line="240" w:lineRule="auto"/>
              <w:rPr>
                <w:rFonts w:ascii="Arial" w:hAnsi="Arial" w:cs="Arial"/>
                <w:color w:val="FFFFFF"/>
                <w:sz w:val="24"/>
                <w:szCs w:val="24"/>
              </w:rPr>
            </w:pPr>
          </w:p>
          <w:p w14:paraId="1C2F12C8" w14:textId="77777777" w:rsidR="004F7255" w:rsidRPr="00111F24" w:rsidRDefault="004F7255" w:rsidP="00111F24">
            <w:pPr>
              <w:spacing w:after="0" w:line="240" w:lineRule="auto"/>
              <w:rPr>
                <w:rFonts w:ascii="Arial" w:hAnsi="Arial" w:cs="Arial"/>
                <w:color w:val="FFFFFF"/>
                <w:sz w:val="24"/>
                <w:szCs w:val="24"/>
              </w:rPr>
            </w:pPr>
          </w:p>
          <w:p w14:paraId="54F04AE3" w14:textId="77777777" w:rsidR="004F7255" w:rsidRPr="00111F24" w:rsidRDefault="004F7255" w:rsidP="00111F24">
            <w:pPr>
              <w:spacing w:after="0" w:line="240" w:lineRule="auto"/>
              <w:rPr>
                <w:rFonts w:ascii="Arial" w:hAnsi="Arial" w:cs="Arial"/>
                <w:color w:val="FFFFFF"/>
                <w:sz w:val="24"/>
                <w:szCs w:val="24"/>
              </w:rPr>
            </w:pPr>
          </w:p>
          <w:p w14:paraId="2175CFB4" w14:textId="77777777" w:rsidR="004F7255" w:rsidRPr="00111F24" w:rsidRDefault="5E4B57BD" w:rsidP="00111F24">
            <w:pPr>
              <w:spacing w:after="0" w:line="240" w:lineRule="auto"/>
              <w:rPr>
                <w:rFonts w:ascii="Arial" w:hAnsi="Arial" w:cs="Arial"/>
                <w:b/>
                <w:color w:val="FFFFFF"/>
                <w:sz w:val="24"/>
                <w:szCs w:val="24"/>
              </w:rPr>
            </w:pPr>
            <w:r w:rsidRPr="5E4B57BD">
              <w:rPr>
                <w:rFonts w:ascii="Arial" w:hAnsi="Arial" w:cs="Arial"/>
                <w:b/>
                <w:bCs/>
                <w:color w:val="FFFFFF" w:themeColor="background1"/>
                <w:sz w:val="24"/>
                <w:szCs w:val="24"/>
              </w:rPr>
              <w:t>RED</w:t>
            </w:r>
          </w:p>
          <w:p w14:paraId="3FADF778" w14:textId="77777777" w:rsidR="004F7255" w:rsidRPr="00111F24" w:rsidRDefault="004F7255" w:rsidP="00111F24">
            <w:pPr>
              <w:spacing w:after="0" w:line="240" w:lineRule="auto"/>
              <w:rPr>
                <w:rFonts w:ascii="Arial" w:hAnsi="Arial" w:cs="Arial"/>
                <w:b/>
                <w:color w:val="FFFFFF"/>
                <w:sz w:val="24"/>
                <w:szCs w:val="24"/>
              </w:rPr>
            </w:pPr>
          </w:p>
          <w:p w14:paraId="0FFB9096" w14:textId="77777777" w:rsidR="004F7255" w:rsidRPr="00111F24" w:rsidRDefault="004F7255" w:rsidP="00111F24">
            <w:pPr>
              <w:spacing w:after="0" w:line="240" w:lineRule="auto"/>
              <w:rPr>
                <w:rFonts w:ascii="Arial" w:hAnsi="Arial" w:cs="Arial"/>
                <w:b/>
                <w:color w:val="FFFFFF"/>
                <w:sz w:val="24"/>
                <w:szCs w:val="24"/>
              </w:rPr>
            </w:pPr>
          </w:p>
          <w:p w14:paraId="40E683BD" w14:textId="77777777" w:rsidR="004F7255" w:rsidRPr="00111F24" w:rsidRDefault="5E4B57BD" w:rsidP="00111F24">
            <w:pPr>
              <w:spacing w:after="0" w:line="240" w:lineRule="auto"/>
              <w:rPr>
                <w:rFonts w:ascii="Arial" w:hAnsi="Arial" w:cs="Arial"/>
                <w:color w:val="FFFFFF"/>
                <w:sz w:val="24"/>
                <w:szCs w:val="24"/>
              </w:rPr>
            </w:pPr>
            <w:r w:rsidRPr="5E4B57BD">
              <w:rPr>
                <w:rFonts w:ascii="Arial" w:hAnsi="Arial" w:cs="Arial"/>
                <w:b/>
                <w:bCs/>
                <w:color w:val="FFFFFF" w:themeColor="background1"/>
                <w:sz w:val="24"/>
                <w:szCs w:val="24"/>
              </w:rPr>
              <w:t>OFFICIAL- SENSITIVE</w:t>
            </w:r>
          </w:p>
        </w:tc>
        <w:tc>
          <w:tcPr>
            <w:tcW w:w="7431" w:type="dxa"/>
            <w:tcBorders>
              <w:top w:val="single" w:sz="8" w:space="0" w:color="auto"/>
              <w:left w:val="nil"/>
              <w:bottom w:val="single" w:sz="8" w:space="0" w:color="auto"/>
              <w:right w:val="single" w:sz="8" w:space="0" w:color="auto"/>
            </w:tcBorders>
            <w:shd w:val="clear" w:color="auto" w:fill="FF0000"/>
            <w:tcMar>
              <w:top w:w="0" w:type="dxa"/>
              <w:left w:w="108" w:type="dxa"/>
              <w:bottom w:w="0" w:type="dxa"/>
              <w:right w:w="108" w:type="dxa"/>
            </w:tcMar>
          </w:tcPr>
          <w:p w14:paraId="6658BACE" w14:textId="77777777" w:rsidR="004F7255" w:rsidRPr="00111F24" w:rsidRDefault="5E4B57BD" w:rsidP="00111F24">
            <w:pPr>
              <w:spacing w:after="0" w:line="240" w:lineRule="auto"/>
              <w:rPr>
                <w:rFonts w:ascii="Arial" w:hAnsi="Arial" w:cs="Arial"/>
                <w:color w:val="FFFFFF"/>
                <w:sz w:val="24"/>
                <w:szCs w:val="24"/>
              </w:rPr>
            </w:pPr>
            <w:r w:rsidRPr="5E4B57BD">
              <w:rPr>
                <w:rFonts w:ascii="Arial" w:hAnsi="Arial" w:cs="Arial"/>
                <w:color w:val="FFFFFF" w:themeColor="background1"/>
                <w:sz w:val="24"/>
                <w:szCs w:val="24"/>
              </w:rPr>
              <w:t>Health &amp; care personal data - personal data which reveals anything about the health or care arrangements of any individuals or families. This includes details about ethnicity, gender or sexuality.</w:t>
            </w:r>
          </w:p>
          <w:p w14:paraId="7503662C" w14:textId="77777777" w:rsidR="004F7255" w:rsidRPr="00111F24" w:rsidRDefault="004F7255" w:rsidP="00111F24">
            <w:pPr>
              <w:spacing w:after="0" w:line="240" w:lineRule="auto"/>
              <w:rPr>
                <w:rFonts w:ascii="Arial" w:hAnsi="Arial" w:cs="Arial"/>
                <w:color w:val="FFFFFF"/>
                <w:sz w:val="24"/>
                <w:szCs w:val="24"/>
              </w:rPr>
            </w:pPr>
          </w:p>
        </w:tc>
      </w:tr>
      <w:tr w:rsidR="004F7255" w:rsidRPr="00111F24" w14:paraId="18BB5E09" w14:textId="77777777" w:rsidTr="5E4B57BD">
        <w:tc>
          <w:tcPr>
            <w:tcW w:w="0" w:type="auto"/>
            <w:vMerge/>
            <w:vAlign w:val="center"/>
            <w:hideMark/>
          </w:tcPr>
          <w:p w14:paraId="5290B5A7" w14:textId="77777777" w:rsidR="004F7255" w:rsidRPr="00111F24" w:rsidRDefault="004F7255" w:rsidP="00111F24">
            <w:pPr>
              <w:spacing w:after="0" w:line="240" w:lineRule="auto"/>
              <w:rPr>
                <w:rFonts w:ascii="Arial" w:eastAsia="Calibri" w:hAnsi="Arial" w:cs="Arial"/>
                <w:color w:val="FFFFFF"/>
                <w:sz w:val="24"/>
                <w:szCs w:val="24"/>
              </w:rPr>
            </w:pPr>
          </w:p>
        </w:tc>
        <w:tc>
          <w:tcPr>
            <w:tcW w:w="7431" w:type="dxa"/>
            <w:tcBorders>
              <w:top w:val="nil"/>
              <w:left w:val="nil"/>
              <w:bottom w:val="single" w:sz="8" w:space="0" w:color="auto"/>
              <w:right w:val="single" w:sz="8" w:space="0" w:color="auto"/>
            </w:tcBorders>
            <w:shd w:val="clear" w:color="auto" w:fill="FF0000"/>
            <w:tcMar>
              <w:top w:w="0" w:type="dxa"/>
              <w:left w:w="108" w:type="dxa"/>
              <w:bottom w:w="0" w:type="dxa"/>
              <w:right w:w="108" w:type="dxa"/>
            </w:tcMar>
          </w:tcPr>
          <w:p w14:paraId="1495B345" w14:textId="77777777" w:rsidR="004F7255" w:rsidRPr="00111F24" w:rsidRDefault="5E4B57BD" w:rsidP="00111F24">
            <w:pPr>
              <w:spacing w:after="0" w:line="240" w:lineRule="auto"/>
              <w:rPr>
                <w:rFonts w:ascii="Arial" w:hAnsi="Arial" w:cs="Arial"/>
                <w:color w:val="FFFFFF"/>
                <w:sz w:val="24"/>
                <w:szCs w:val="24"/>
              </w:rPr>
            </w:pPr>
            <w:r w:rsidRPr="5E4B57BD">
              <w:rPr>
                <w:rFonts w:ascii="Arial" w:hAnsi="Arial" w:cs="Arial"/>
                <w:color w:val="FFFFFF" w:themeColor="background1"/>
                <w:sz w:val="24"/>
                <w:szCs w:val="24"/>
              </w:rPr>
              <w:t>Financial personal data - personal data which reveals anything about the financial circumstances of any individuals or families</w:t>
            </w:r>
          </w:p>
          <w:p w14:paraId="4E0B0B3F" w14:textId="77777777" w:rsidR="004F7255" w:rsidRPr="00111F24" w:rsidRDefault="004F7255" w:rsidP="00111F24">
            <w:pPr>
              <w:spacing w:after="0" w:line="240" w:lineRule="auto"/>
              <w:rPr>
                <w:rFonts w:ascii="Arial" w:hAnsi="Arial" w:cs="Arial"/>
                <w:color w:val="FFFFFF"/>
                <w:sz w:val="24"/>
                <w:szCs w:val="24"/>
              </w:rPr>
            </w:pPr>
          </w:p>
        </w:tc>
      </w:tr>
      <w:tr w:rsidR="004F7255" w:rsidRPr="00111F24" w14:paraId="3469528C" w14:textId="77777777" w:rsidTr="5E4B57BD">
        <w:tc>
          <w:tcPr>
            <w:tcW w:w="0" w:type="auto"/>
            <w:vMerge/>
            <w:vAlign w:val="center"/>
            <w:hideMark/>
          </w:tcPr>
          <w:p w14:paraId="67133331" w14:textId="77777777" w:rsidR="004F7255" w:rsidRPr="00111F24" w:rsidRDefault="004F7255" w:rsidP="00111F24">
            <w:pPr>
              <w:spacing w:after="0" w:line="240" w:lineRule="auto"/>
              <w:rPr>
                <w:rFonts w:ascii="Arial" w:eastAsia="Calibri" w:hAnsi="Arial" w:cs="Arial"/>
                <w:color w:val="FFFFFF"/>
                <w:sz w:val="24"/>
                <w:szCs w:val="24"/>
              </w:rPr>
            </w:pPr>
          </w:p>
        </w:tc>
        <w:tc>
          <w:tcPr>
            <w:tcW w:w="7431" w:type="dxa"/>
            <w:tcBorders>
              <w:top w:val="nil"/>
              <w:left w:val="nil"/>
              <w:bottom w:val="single" w:sz="8" w:space="0" w:color="auto"/>
              <w:right w:val="single" w:sz="8" w:space="0" w:color="auto"/>
            </w:tcBorders>
            <w:shd w:val="clear" w:color="auto" w:fill="FF0000"/>
            <w:tcMar>
              <w:top w:w="0" w:type="dxa"/>
              <w:left w:w="108" w:type="dxa"/>
              <w:bottom w:w="0" w:type="dxa"/>
              <w:right w:w="108" w:type="dxa"/>
            </w:tcMar>
          </w:tcPr>
          <w:p w14:paraId="669FDA48" w14:textId="77777777" w:rsidR="004F7255" w:rsidRPr="00111F24" w:rsidRDefault="5E4B57BD" w:rsidP="00111F24">
            <w:pPr>
              <w:spacing w:after="0" w:line="240" w:lineRule="auto"/>
              <w:rPr>
                <w:rFonts w:ascii="Arial" w:hAnsi="Arial" w:cs="Arial"/>
                <w:color w:val="FFFFFF"/>
                <w:sz w:val="24"/>
                <w:szCs w:val="24"/>
              </w:rPr>
            </w:pPr>
            <w:r w:rsidRPr="5E4B57BD">
              <w:rPr>
                <w:rFonts w:ascii="Arial" w:hAnsi="Arial" w:cs="Arial"/>
                <w:color w:val="FFFFFF" w:themeColor="background1"/>
                <w:sz w:val="24"/>
                <w:szCs w:val="24"/>
              </w:rPr>
              <w:t>Employee &amp; partner personal data - personal data on employees of SCC and its partners. This includes details about ethnicity, gender or sexuality.</w:t>
            </w:r>
          </w:p>
          <w:p w14:paraId="1D85E32F" w14:textId="77777777" w:rsidR="004F7255" w:rsidRPr="00111F24" w:rsidRDefault="004F7255" w:rsidP="00111F24">
            <w:pPr>
              <w:spacing w:after="0" w:line="240" w:lineRule="auto"/>
              <w:rPr>
                <w:rFonts w:ascii="Arial" w:hAnsi="Arial" w:cs="Arial"/>
                <w:color w:val="FFFFFF"/>
                <w:sz w:val="24"/>
                <w:szCs w:val="24"/>
              </w:rPr>
            </w:pPr>
          </w:p>
        </w:tc>
      </w:tr>
      <w:tr w:rsidR="004F7255" w:rsidRPr="00111F24" w14:paraId="740A559C" w14:textId="77777777" w:rsidTr="5E4B57BD">
        <w:tc>
          <w:tcPr>
            <w:tcW w:w="0" w:type="auto"/>
            <w:vMerge/>
            <w:vAlign w:val="center"/>
            <w:hideMark/>
          </w:tcPr>
          <w:p w14:paraId="4790A1D8" w14:textId="77777777" w:rsidR="004F7255" w:rsidRPr="00111F24" w:rsidRDefault="004F7255" w:rsidP="00111F24">
            <w:pPr>
              <w:spacing w:after="0" w:line="240" w:lineRule="auto"/>
              <w:rPr>
                <w:rFonts w:ascii="Arial" w:eastAsia="Calibri" w:hAnsi="Arial" w:cs="Arial"/>
                <w:color w:val="FFFFFF"/>
                <w:sz w:val="24"/>
                <w:szCs w:val="24"/>
              </w:rPr>
            </w:pPr>
          </w:p>
        </w:tc>
        <w:tc>
          <w:tcPr>
            <w:tcW w:w="7431" w:type="dxa"/>
            <w:tcBorders>
              <w:top w:val="nil"/>
              <w:left w:val="nil"/>
              <w:bottom w:val="single" w:sz="8" w:space="0" w:color="auto"/>
              <w:right w:val="single" w:sz="8" w:space="0" w:color="auto"/>
            </w:tcBorders>
            <w:shd w:val="clear" w:color="auto" w:fill="FF0000"/>
            <w:tcMar>
              <w:top w:w="0" w:type="dxa"/>
              <w:left w:w="108" w:type="dxa"/>
              <w:bottom w:w="0" w:type="dxa"/>
              <w:right w:w="108" w:type="dxa"/>
            </w:tcMar>
          </w:tcPr>
          <w:p w14:paraId="129DC545" w14:textId="77777777" w:rsidR="004F7255" w:rsidRPr="00111F24" w:rsidRDefault="5E4B57BD" w:rsidP="00111F24">
            <w:pPr>
              <w:spacing w:after="0" w:line="240" w:lineRule="auto"/>
              <w:rPr>
                <w:rFonts w:ascii="Arial" w:hAnsi="Arial" w:cs="Arial"/>
                <w:color w:val="FFFFFF"/>
                <w:sz w:val="24"/>
                <w:szCs w:val="24"/>
              </w:rPr>
            </w:pPr>
            <w:r w:rsidRPr="5E4B57BD">
              <w:rPr>
                <w:rFonts w:ascii="Arial" w:hAnsi="Arial" w:cs="Arial"/>
                <w:color w:val="FFFFFF" w:themeColor="background1"/>
                <w:sz w:val="24"/>
                <w:szCs w:val="24"/>
              </w:rPr>
              <w:t>Impact on health, safety &amp; wellbeing - anything which, if disclosed, would impact on the health, safety and wellbeing of people. This includes details about ethnicity, gender or sexuality.</w:t>
            </w:r>
          </w:p>
          <w:p w14:paraId="49A5ADD3" w14:textId="77777777" w:rsidR="004F7255" w:rsidRPr="00111F24" w:rsidRDefault="004F7255" w:rsidP="00111F24">
            <w:pPr>
              <w:spacing w:after="0" w:line="240" w:lineRule="auto"/>
              <w:rPr>
                <w:rFonts w:ascii="Arial" w:hAnsi="Arial" w:cs="Arial"/>
                <w:color w:val="FFFFFF"/>
                <w:sz w:val="24"/>
                <w:szCs w:val="24"/>
              </w:rPr>
            </w:pPr>
          </w:p>
        </w:tc>
      </w:tr>
      <w:tr w:rsidR="004F7255" w:rsidRPr="00111F24" w14:paraId="1D1F37C1" w14:textId="77777777" w:rsidTr="5E4B57BD">
        <w:tc>
          <w:tcPr>
            <w:tcW w:w="0" w:type="auto"/>
            <w:vMerge/>
            <w:vAlign w:val="center"/>
            <w:hideMark/>
          </w:tcPr>
          <w:p w14:paraId="4B833955" w14:textId="77777777" w:rsidR="004F7255" w:rsidRPr="00111F24" w:rsidRDefault="004F7255" w:rsidP="00111F24">
            <w:pPr>
              <w:spacing w:after="0" w:line="240" w:lineRule="auto"/>
              <w:rPr>
                <w:rFonts w:ascii="Arial" w:eastAsia="Calibri" w:hAnsi="Arial" w:cs="Arial"/>
                <w:color w:val="FFFFFF"/>
                <w:sz w:val="24"/>
                <w:szCs w:val="24"/>
              </w:rPr>
            </w:pPr>
          </w:p>
        </w:tc>
        <w:tc>
          <w:tcPr>
            <w:tcW w:w="7431" w:type="dxa"/>
            <w:tcBorders>
              <w:top w:val="nil"/>
              <w:left w:val="nil"/>
              <w:bottom w:val="single" w:sz="8" w:space="0" w:color="auto"/>
              <w:right w:val="single" w:sz="8" w:space="0" w:color="auto"/>
            </w:tcBorders>
            <w:shd w:val="clear" w:color="auto" w:fill="FF0000"/>
            <w:tcMar>
              <w:top w:w="0" w:type="dxa"/>
              <w:left w:w="108" w:type="dxa"/>
              <w:bottom w:w="0" w:type="dxa"/>
              <w:right w:w="108" w:type="dxa"/>
            </w:tcMar>
          </w:tcPr>
          <w:p w14:paraId="043B4EDE" w14:textId="2C7B257C" w:rsidR="004F7255" w:rsidRPr="00111F24" w:rsidRDefault="5E4B57BD" w:rsidP="00111F24">
            <w:pPr>
              <w:spacing w:after="0" w:line="240" w:lineRule="auto"/>
              <w:rPr>
                <w:rFonts w:ascii="Arial" w:hAnsi="Arial" w:cs="Arial"/>
                <w:color w:val="FFFFFF"/>
                <w:sz w:val="24"/>
                <w:szCs w:val="24"/>
              </w:rPr>
            </w:pPr>
            <w:r w:rsidRPr="5E4B57BD">
              <w:rPr>
                <w:rFonts w:ascii="Arial" w:hAnsi="Arial" w:cs="Arial"/>
                <w:color w:val="FFFFFF" w:themeColor="background1"/>
                <w:sz w:val="24"/>
                <w:szCs w:val="24"/>
              </w:rPr>
              <w:t xml:space="preserve">Corporate information which would have a significant impact on the reputation or business of SCC </w:t>
            </w:r>
            <w:r w:rsidR="005F43CB" w:rsidRPr="5E4B57BD">
              <w:rPr>
                <w:rFonts w:ascii="Arial" w:hAnsi="Arial" w:cs="Arial"/>
                <w:color w:val="FFFFFF" w:themeColor="background1"/>
                <w:sz w:val="24"/>
                <w:szCs w:val="24"/>
              </w:rPr>
              <w:t>i</w:t>
            </w:r>
            <w:r w:rsidR="005F43CB">
              <w:rPr>
                <w:rFonts w:ascii="Arial" w:hAnsi="Arial" w:cs="Arial"/>
                <w:color w:val="FFFFFF" w:themeColor="background1"/>
                <w:sz w:val="24"/>
                <w:szCs w:val="24"/>
              </w:rPr>
              <w:t>f</w:t>
            </w:r>
            <w:r w:rsidR="005F43CB" w:rsidRPr="5E4B57BD">
              <w:rPr>
                <w:rFonts w:ascii="Arial" w:hAnsi="Arial" w:cs="Arial"/>
                <w:color w:val="FFFFFF" w:themeColor="background1"/>
                <w:sz w:val="24"/>
                <w:szCs w:val="24"/>
              </w:rPr>
              <w:t xml:space="preserve"> </w:t>
            </w:r>
            <w:r w:rsidR="005F43CB">
              <w:rPr>
                <w:rFonts w:ascii="Arial" w:hAnsi="Arial" w:cs="Arial"/>
                <w:color w:val="FFFFFF" w:themeColor="background1"/>
                <w:sz w:val="24"/>
                <w:szCs w:val="24"/>
              </w:rPr>
              <w:t>it</w:t>
            </w:r>
            <w:r w:rsidR="005F43CB" w:rsidRPr="5E4B57BD">
              <w:rPr>
                <w:rFonts w:ascii="Arial" w:hAnsi="Arial" w:cs="Arial"/>
                <w:color w:val="FFFFFF" w:themeColor="background1"/>
                <w:sz w:val="24"/>
                <w:szCs w:val="24"/>
              </w:rPr>
              <w:t xml:space="preserve"> </w:t>
            </w:r>
            <w:r w:rsidR="006D6588" w:rsidRPr="005F43CB">
              <w:rPr>
                <w:rFonts w:ascii="Arial" w:hAnsi="Arial" w:cs="Arial"/>
                <w:color w:val="FFFFFF" w:themeColor="background1"/>
                <w:sz w:val="24"/>
                <w:szCs w:val="24"/>
              </w:rPr>
              <w:t xml:space="preserve">were </w:t>
            </w:r>
            <w:r w:rsidRPr="5E4B57BD">
              <w:rPr>
                <w:rFonts w:ascii="Arial" w:hAnsi="Arial" w:cs="Arial"/>
                <w:color w:val="FFFFFF" w:themeColor="background1"/>
                <w:sz w:val="24"/>
                <w:szCs w:val="24"/>
              </w:rPr>
              <w:t xml:space="preserve">seen by </w:t>
            </w:r>
            <w:r w:rsidR="005F43CB">
              <w:rPr>
                <w:rFonts w:ascii="Arial" w:hAnsi="Arial" w:cs="Arial"/>
                <w:color w:val="FFFFFF" w:themeColor="background1"/>
                <w:sz w:val="24"/>
                <w:szCs w:val="24"/>
              </w:rPr>
              <w:t xml:space="preserve">a </w:t>
            </w:r>
            <w:r w:rsidRPr="5E4B57BD">
              <w:rPr>
                <w:rFonts w:ascii="Arial" w:hAnsi="Arial" w:cs="Arial"/>
                <w:color w:val="FFFFFF" w:themeColor="background1"/>
                <w:sz w:val="24"/>
                <w:szCs w:val="24"/>
              </w:rPr>
              <w:t>non-intended recipient because of commercial, legal, fraud, investigatory</w:t>
            </w:r>
            <w:r w:rsidR="00D92A17">
              <w:rPr>
                <w:rFonts w:ascii="Arial" w:hAnsi="Arial" w:cs="Arial"/>
                <w:color w:val="FFFFFF" w:themeColor="background1"/>
                <w:sz w:val="24"/>
                <w:szCs w:val="24"/>
              </w:rPr>
              <w:t xml:space="preserve"> reasons</w:t>
            </w:r>
            <w:r w:rsidRPr="5E4B57BD">
              <w:rPr>
                <w:rFonts w:ascii="Arial" w:hAnsi="Arial" w:cs="Arial"/>
                <w:color w:val="FFFFFF" w:themeColor="background1"/>
                <w:sz w:val="24"/>
                <w:szCs w:val="24"/>
              </w:rPr>
              <w:t xml:space="preserve"> or areas where confidentiality is necessary.</w:t>
            </w:r>
          </w:p>
          <w:p w14:paraId="724D5E15" w14:textId="77777777" w:rsidR="004F7255" w:rsidRPr="00111F24" w:rsidRDefault="004F7255" w:rsidP="00111F24">
            <w:pPr>
              <w:spacing w:after="0" w:line="240" w:lineRule="auto"/>
              <w:rPr>
                <w:rFonts w:ascii="Arial" w:hAnsi="Arial" w:cs="Arial"/>
                <w:color w:val="FFFFFF"/>
                <w:sz w:val="24"/>
                <w:szCs w:val="24"/>
              </w:rPr>
            </w:pPr>
          </w:p>
        </w:tc>
      </w:tr>
    </w:tbl>
    <w:p w14:paraId="140D7965" w14:textId="77777777" w:rsidR="004F7255" w:rsidRPr="00111F24" w:rsidRDefault="004F7255" w:rsidP="00111F24">
      <w:pPr>
        <w:spacing w:after="0" w:line="240" w:lineRule="auto"/>
        <w:rPr>
          <w:rFonts w:ascii="Arial" w:hAnsi="Arial" w:cs="Arial"/>
          <w:sz w:val="24"/>
          <w:szCs w:val="24"/>
        </w:rPr>
      </w:pPr>
    </w:p>
    <w:p w14:paraId="7435739A" w14:textId="41A0D0CF" w:rsidR="0047121A" w:rsidRPr="00111F24" w:rsidRDefault="0047121A" w:rsidP="00111F24">
      <w:pPr>
        <w:spacing w:after="0" w:line="240" w:lineRule="auto"/>
        <w:rPr>
          <w:rFonts w:ascii="Arial" w:hAnsi="Arial" w:cs="Arial"/>
          <w:sz w:val="24"/>
          <w:szCs w:val="24"/>
        </w:rPr>
      </w:pPr>
    </w:p>
    <w:p w14:paraId="51776466" w14:textId="6C5376AB" w:rsidR="0047121A" w:rsidRPr="00111F24" w:rsidRDefault="0047121A" w:rsidP="00111F24">
      <w:pPr>
        <w:spacing w:after="0" w:line="240" w:lineRule="auto"/>
        <w:rPr>
          <w:rFonts w:ascii="Arial" w:hAnsi="Arial" w:cs="Arial"/>
          <w:sz w:val="24"/>
          <w:szCs w:val="24"/>
        </w:rPr>
      </w:pPr>
    </w:p>
    <w:p w14:paraId="58FC6140" w14:textId="77777777" w:rsidR="0047121A" w:rsidRPr="00111F24" w:rsidRDefault="0047121A" w:rsidP="00111F24">
      <w:pPr>
        <w:spacing w:after="0" w:line="240" w:lineRule="auto"/>
        <w:rPr>
          <w:rFonts w:ascii="Arial" w:hAnsi="Arial" w:cs="Arial"/>
          <w:sz w:val="24"/>
          <w:szCs w:val="24"/>
        </w:rPr>
      </w:pPr>
    </w:p>
    <w:sectPr w:rsidR="0047121A" w:rsidRPr="00111F24">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FFFE2" w14:textId="77777777" w:rsidR="007D72D3" w:rsidRDefault="007D72D3" w:rsidP="00776FDD">
      <w:pPr>
        <w:spacing w:after="0" w:line="240" w:lineRule="auto"/>
      </w:pPr>
      <w:r>
        <w:separator/>
      </w:r>
    </w:p>
  </w:endnote>
  <w:endnote w:type="continuationSeparator" w:id="0">
    <w:p w14:paraId="68B57176" w14:textId="77777777" w:rsidR="007D72D3" w:rsidRDefault="007D72D3" w:rsidP="00776FDD">
      <w:pPr>
        <w:spacing w:after="0" w:line="240" w:lineRule="auto"/>
      </w:pPr>
      <w:r>
        <w:continuationSeparator/>
      </w:r>
    </w:p>
  </w:endnote>
  <w:endnote w:type="continuationNotice" w:id="1">
    <w:p w14:paraId="77A56EAC" w14:textId="77777777" w:rsidR="007D72D3" w:rsidRDefault="007D72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598D1" w14:textId="57BC45CF" w:rsidR="007D72D3" w:rsidRPr="00D973EE" w:rsidRDefault="007D72D3">
    <w:pPr>
      <w:pStyle w:val="Footer"/>
      <w:rPr>
        <w:rFonts w:ascii="Arial" w:hAnsi="Arial" w:cs="Arial"/>
        <w:sz w:val="20"/>
        <w:szCs w:val="20"/>
      </w:rPr>
    </w:pPr>
    <w:r w:rsidRPr="00D973EE">
      <w:rPr>
        <w:rFonts w:ascii="Arial" w:hAnsi="Arial" w:cs="Arial"/>
        <w:sz w:val="20"/>
        <w:szCs w:val="20"/>
      </w:rPr>
      <w:t>Guidance for</w:t>
    </w:r>
    <w:r>
      <w:rPr>
        <w:rFonts w:ascii="Arial" w:hAnsi="Arial" w:cs="Arial"/>
        <w:sz w:val="20"/>
        <w:szCs w:val="20"/>
      </w:rPr>
      <w:t xml:space="preserve"> completing a DPIA </w:t>
    </w:r>
    <w:r w:rsidR="00F96661">
      <w:rPr>
        <w:rFonts w:ascii="Arial" w:hAnsi="Arial" w:cs="Arial"/>
        <w:sz w:val="20"/>
        <w:szCs w:val="20"/>
      </w:rPr>
      <w:t>FINAL 1/1/2019</w:t>
    </w:r>
    <w:r>
      <w:rPr>
        <w:rFonts w:ascii="Arial" w:hAnsi="Arial" w:cs="Arial"/>
        <w:sz w:val="20"/>
        <w:szCs w:val="20"/>
      </w:rPr>
      <w:tab/>
    </w:r>
    <w:r w:rsidRPr="00D973EE">
      <w:rPr>
        <w:rFonts w:ascii="Arial" w:hAnsi="Arial" w:cs="Arial"/>
        <w:sz w:val="20"/>
        <w:szCs w:val="20"/>
      </w:rPr>
      <w:tab/>
    </w:r>
    <w:sdt>
      <w:sdtPr>
        <w:rPr>
          <w:rFonts w:ascii="Arial" w:hAnsi="Arial" w:cs="Arial"/>
          <w:sz w:val="20"/>
          <w:szCs w:val="20"/>
        </w:rPr>
        <w:id w:val="1360167113"/>
        <w:docPartObj>
          <w:docPartGallery w:val="Page Numbers (Bottom of Page)"/>
          <w:docPartUnique/>
        </w:docPartObj>
      </w:sdtPr>
      <w:sdtEndPr/>
      <w:sdtContent>
        <w:sdt>
          <w:sdtPr>
            <w:rPr>
              <w:rFonts w:ascii="Arial" w:hAnsi="Arial" w:cs="Arial"/>
              <w:sz w:val="20"/>
              <w:szCs w:val="20"/>
            </w:rPr>
            <w:id w:val="-1705238520"/>
            <w:docPartObj>
              <w:docPartGallery w:val="Page Numbers (Top of Page)"/>
              <w:docPartUnique/>
            </w:docPartObj>
          </w:sdtPr>
          <w:sdtEndPr/>
          <w:sdtContent>
            <w:r w:rsidRPr="00D973EE">
              <w:rPr>
                <w:rFonts w:ascii="Arial" w:hAnsi="Arial" w:cs="Arial"/>
                <w:sz w:val="20"/>
                <w:szCs w:val="20"/>
              </w:rPr>
              <w:t xml:space="preserve">Page </w:t>
            </w:r>
            <w:r w:rsidRPr="00D973EE">
              <w:rPr>
                <w:rFonts w:ascii="Arial" w:hAnsi="Arial" w:cs="Arial"/>
                <w:bCs/>
                <w:sz w:val="20"/>
                <w:szCs w:val="20"/>
              </w:rPr>
              <w:fldChar w:fldCharType="begin"/>
            </w:r>
            <w:r w:rsidRPr="00D973EE">
              <w:rPr>
                <w:rFonts w:ascii="Arial" w:hAnsi="Arial" w:cs="Arial"/>
                <w:bCs/>
                <w:sz w:val="20"/>
                <w:szCs w:val="20"/>
              </w:rPr>
              <w:instrText xml:space="preserve"> PAGE </w:instrText>
            </w:r>
            <w:r w:rsidRPr="00D973EE">
              <w:rPr>
                <w:rFonts w:ascii="Arial" w:hAnsi="Arial" w:cs="Arial"/>
                <w:bCs/>
                <w:sz w:val="20"/>
                <w:szCs w:val="20"/>
              </w:rPr>
              <w:fldChar w:fldCharType="separate"/>
            </w:r>
            <w:r w:rsidRPr="00D973EE">
              <w:rPr>
                <w:rFonts w:ascii="Arial" w:hAnsi="Arial" w:cs="Arial"/>
                <w:bCs/>
                <w:noProof/>
                <w:sz w:val="20"/>
                <w:szCs w:val="20"/>
              </w:rPr>
              <w:t>2</w:t>
            </w:r>
            <w:r w:rsidRPr="00D973EE">
              <w:rPr>
                <w:rFonts w:ascii="Arial" w:hAnsi="Arial" w:cs="Arial"/>
                <w:bCs/>
                <w:sz w:val="20"/>
                <w:szCs w:val="20"/>
              </w:rPr>
              <w:fldChar w:fldCharType="end"/>
            </w:r>
            <w:r w:rsidRPr="00D973EE">
              <w:rPr>
                <w:rFonts w:ascii="Arial" w:hAnsi="Arial" w:cs="Arial"/>
                <w:sz w:val="20"/>
                <w:szCs w:val="20"/>
              </w:rPr>
              <w:t xml:space="preserve"> of </w:t>
            </w:r>
            <w:r w:rsidRPr="00D973EE">
              <w:rPr>
                <w:rFonts w:ascii="Arial" w:hAnsi="Arial" w:cs="Arial"/>
                <w:bCs/>
                <w:sz w:val="20"/>
                <w:szCs w:val="20"/>
              </w:rPr>
              <w:fldChar w:fldCharType="begin"/>
            </w:r>
            <w:r w:rsidRPr="00D973EE">
              <w:rPr>
                <w:rFonts w:ascii="Arial" w:hAnsi="Arial" w:cs="Arial"/>
                <w:bCs/>
                <w:sz w:val="20"/>
                <w:szCs w:val="20"/>
              </w:rPr>
              <w:instrText xml:space="preserve"> NUMPAGES  </w:instrText>
            </w:r>
            <w:r w:rsidRPr="00D973EE">
              <w:rPr>
                <w:rFonts w:ascii="Arial" w:hAnsi="Arial" w:cs="Arial"/>
                <w:bCs/>
                <w:sz w:val="20"/>
                <w:szCs w:val="20"/>
              </w:rPr>
              <w:fldChar w:fldCharType="separate"/>
            </w:r>
            <w:r w:rsidRPr="00D973EE">
              <w:rPr>
                <w:rFonts w:ascii="Arial" w:hAnsi="Arial" w:cs="Arial"/>
                <w:bCs/>
                <w:noProof/>
                <w:sz w:val="20"/>
                <w:szCs w:val="20"/>
              </w:rPr>
              <w:t>2</w:t>
            </w:r>
            <w:r w:rsidRPr="00D973EE">
              <w:rPr>
                <w:rFonts w:ascii="Arial" w:hAnsi="Arial" w:cs="Arial"/>
                <w:bCs/>
                <w:sz w:val="20"/>
                <w:szCs w:val="20"/>
              </w:rPr>
              <w:fldChar w:fldCharType="end"/>
            </w:r>
          </w:sdtContent>
        </w:sdt>
      </w:sdtContent>
    </w:sdt>
  </w:p>
  <w:p w14:paraId="3CAAF78F" w14:textId="77777777" w:rsidR="007D72D3" w:rsidRDefault="007D7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49C90" w14:textId="77777777" w:rsidR="007D72D3" w:rsidRDefault="007D72D3" w:rsidP="00776FDD">
      <w:pPr>
        <w:spacing w:after="0" w:line="240" w:lineRule="auto"/>
      </w:pPr>
      <w:r>
        <w:separator/>
      </w:r>
    </w:p>
  </w:footnote>
  <w:footnote w:type="continuationSeparator" w:id="0">
    <w:p w14:paraId="15EA9130" w14:textId="77777777" w:rsidR="007D72D3" w:rsidRDefault="007D72D3" w:rsidP="00776FDD">
      <w:pPr>
        <w:spacing w:after="0" w:line="240" w:lineRule="auto"/>
      </w:pPr>
      <w:r>
        <w:continuationSeparator/>
      </w:r>
    </w:p>
  </w:footnote>
  <w:footnote w:type="continuationNotice" w:id="1">
    <w:p w14:paraId="754CBD42" w14:textId="77777777" w:rsidR="007D72D3" w:rsidRDefault="007D72D3">
      <w:pPr>
        <w:spacing w:after="0" w:line="240" w:lineRule="auto"/>
      </w:pPr>
    </w:p>
  </w:footnote>
  <w:footnote w:id="2">
    <w:p w14:paraId="47F05482" w14:textId="083B7A7C" w:rsidR="007D72D3" w:rsidRPr="00B04DB0" w:rsidRDefault="007D72D3">
      <w:pPr>
        <w:pStyle w:val="FootnoteText"/>
        <w:rPr>
          <w:rFonts w:ascii="Arial" w:hAnsi="Arial" w:cs="Arial"/>
        </w:rPr>
      </w:pPr>
      <w:r w:rsidRPr="00B04DB0">
        <w:rPr>
          <w:rStyle w:val="FootnoteReference"/>
          <w:rFonts w:ascii="Arial" w:hAnsi="Arial"/>
        </w:rPr>
        <w:footnoteRef/>
      </w:r>
      <w:r w:rsidRPr="00B04DB0">
        <w:rPr>
          <w:rFonts w:ascii="Arial" w:hAnsi="Arial"/>
        </w:rPr>
        <w:t xml:space="preserve"> The Information Commissioner is the UK’s</w:t>
      </w:r>
      <w:r w:rsidRPr="00B04DB0">
        <w:rPr>
          <w:rFonts w:ascii="Arial" w:hAnsi="Arial" w:cs="Arial"/>
          <w:color w:val="000000"/>
          <w:lang w:val="en"/>
        </w:rPr>
        <w:t xml:space="preserve"> independent authority set up to uphold information rights in the public interest, promoting openness by public bodies and data privacy for individuals.</w:t>
      </w:r>
    </w:p>
  </w:footnote>
  <w:footnote w:id="3">
    <w:p w14:paraId="56DCF278" w14:textId="2DE2EE1F" w:rsidR="007D72D3" w:rsidRPr="003D63E1" w:rsidRDefault="007D72D3" w:rsidP="003D63E1">
      <w:pPr>
        <w:spacing w:after="0" w:line="240" w:lineRule="auto"/>
        <w:rPr>
          <w:rFonts w:ascii="Arial" w:hAnsi="Arial" w:cs="Arial"/>
          <w:sz w:val="20"/>
          <w:szCs w:val="24"/>
        </w:rPr>
      </w:pPr>
      <w:r w:rsidRPr="003D63E1">
        <w:rPr>
          <w:rStyle w:val="FootnoteReference"/>
          <w:rFonts w:ascii="Arial" w:hAnsi="Arial"/>
          <w:sz w:val="20"/>
        </w:rPr>
        <w:footnoteRef/>
      </w:r>
      <w:r w:rsidRPr="003D63E1">
        <w:rPr>
          <w:rFonts w:ascii="Arial" w:hAnsi="Arial"/>
          <w:sz w:val="20"/>
        </w:rPr>
        <w:t xml:space="preserve"> </w:t>
      </w:r>
      <w:r>
        <w:rPr>
          <w:rFonts w:ascii="Arial" w:hAnsi="Arial"/>
          <w:sz w:val="20"/>
        </w:rPr>
        <w:t xml:space="preserve">Where appropriate, </w:t>
      </w:r>
      <w:r>
        <w:rPr>
          <w:rFonts w:ascii="Arial" w:hAnsi="Arial" w:cs="Arial"/>
          <w:sz w:val="20"/>
          <w:szCs w:val="24"/>
        </w:rPr>
        <w:t>b</w:t>
      </w:r>
      <w:r w:rsidRPr="003D63E1">
        <w:rPr>
          <w:rFonts w:ascii="Arial" w:hAnsi="Arial" w:cs="Arial"/>
          <w:sz w:val="20"/>
          <w:szCs w:val="24"/>
        </w:rPr>
        <w:t xml:space="preserve">oth laws </w:t>
      </w:r>
      <w:r>
        <w:rPr>
          <w:rFonts w:ascii="Arial" w:hAnsi="Arial" w:cs="Arial"/>
          <w:sz w:val="20"/>
          <w:szCs w:val="24"/>
        </w:rPr>
        <w:t>will be</w:t>
      </w:r>
      <w:r w:rsidRPr="003D63E1">
        <w:rPr>
          <w:rFonts w:ascii="Arial" w:hAnsi="Arial" w:cs="Arial"/>
          <w:sz w:val="20"/>
          <w:szCs w:val="24"/>
        </w:rPr>
        <w:t xml:space="preserve"> referred to</w:t>
      </w:r>
      <w:r>
        <w:rPr>
          <w:rFonts w:ascii="Arial" w:hAnsi="Arial" w:cs="Arial"/>
          <w:sz w:val="20"/>
          <w:szCs w:val="24"/>
        </w:rPr>
        <w:t xml:space="preserve"> collectively</w:t>
      </w:r>
      <w:r w:rsidRPr="003D63E1">
        <w:rPr>
          <w:rFonts w:ascii="Arial" w:hAnsi="Arial" w:cs="Arial"/>
          <w:sz w:val="20"/>
          <w:szCs w:val="24"/>
        </w:rPr>
        <w:t xml:space="preserve"> as data protection law.</w:t>
      </w:r>
    </w:p>
    <w:p w14:paraId="3DB0CD34" w14:textId="6A52F5D0" w:rsidR="007D72D3" w:rsidRDefault="007D72D3">
      <w:pPr>
        <w:pStyle w:val="FootnoteText"/>
      </w:pPr>
    </w:p>
  </w:footnote>
  <w:footnote w:id="4">
    <w:p w14:paraId="2BF23178" w14:textId="77777777" w:rsidR="007D72D3" w:rsidRDefault="007D72D3" w:rsidP="004A1F32">
      <w:pPr>
        <w:pStyle w:val="FootnoteText"/>
      </w:pPr>
      <w:r>
        <w:rPr>
          <w:rStyle w:val="FootnoteReference"/>
        </w:rPr>
        <w:footnoteRef/>
      </w:r>
      <w:r>
        <w:t xml:space="preserve"> There are two other lawful bases for general personal data processing: vital interests and legitimate interests. If you feel that either of these could apply contact the Data Protection Officer for advice.</w:t>
      </w:r>
    </w:p>
  </w:footnote>
  <w:footnote w:id="5">
    <w:p w14:paraId="05608BF5" w14:textId="6E2611ED" w:rsidR="007D72D3" w:rsidRDefault="007D72D3" w:rsidP="004A1F32">
      <w:pPr>
        <w:pStyle w:val="FootnoteText"/>
      </w:pPr>
      <w:r>
        <w:rPr>
          <w:rStyle w:val="FootnoteReference"/>
        </w:rPr>
        <w:footnoteRef/>
      </w:r>
      <w:r>
        <w:t xml:space="preserve"> There are other conditions for special category not listed here (e.g. for legal/court proceedings). Ask the Data Protection Officer for advice if you feel other conditions could be relevant. The special category conditions in GDPR need to be read along with the Data Protection Act (2018) in order to understand in detail what is meant by health/social care/employment/social security etc in a UK context.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FD84D" w14:textId="30B4E3AD" w:rsidR="007D72D3" w:rsidRDefault="00F96661">
    <w:pPr>
      <w:pStyle w:val="Header"/>
    </w:pPr>
    <w:r>
      <w:t>FINAL 1/1/2018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7372"/>
    <w:multiLevelType w:val="hybridMultilevel"/>
    <w:tmpl w:val="9C0CEFD2"/>
    <w:lvl w:ilvl="0" w:tplc="4D18FA58">
      <w:start w:val="1"/>
      <w:numFmt w:val="lowerLetter"/>
      <w:lvlText w:val="%1)"/>
      <w:lvlJc w:val="left"/>
      <w:pPr>
        <w:ind w:left="720" w:firstLine="7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CA7D3F"/>
    <w:multiLevelType w:val="hybridMultilevel"/>
    <w:tmpl w:val="6114D17A"/>
    <w:lvl w:ilvl="0" w:tplc="0E285B5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330C2"/>
    <w:multiLevelType w:val="hybridMultilevel"/>
    <w:tmpl w:val="5DF6033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BD4155"/>
    <w:multiLevelType w:val="hybridMultilevel"/>
    <w:tmpl w:val="E7461BC8"/>
    <w:lvl w:ilvl="0" w:tplc="CE96EDFE">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3B410A"/>
    <w:multiLevelType w:val="hybridMultilevel"/>
    <w:tmpl w:val="54268F40"/>
    <w:lvl w:ilvl="0" w:tplc="FD1EFF86">
      <w:start w:val="1"/>
      <w:numFmt w:val="lowerLetter"/>
      <w:lvlText w:val="%1)"/>
      <w:lvlJc w:val="left"/>
      <w:pPr>
        <w:ind w:left="286" w:hanging="286"/>
      </w:pPr>
      <w:rPr>
        <w:rFonts w:hint="default"/>
      </w:rPr>
    </w:lvl>
    <w:lvl w:ilvl="1" w:tplc="08090019" w:tentative="1">
      <w:start w:val="1"/>
      <w:numFmt w:val="lowerLetter"/>
      <w:lvlText w:val="%2."/>
      <w:lvlJc w:val="left"/>
      <w:pPr>
        <w:ind w:left="646" w:hanging="360"/>
      </w:pPr>
    </w:lvl>
    <w:lvl w:ilvl="2" w:tplc="0809001B" w:tentative="1">
      <w:start w:val="1"/>
      <w:numFmt w:val="lowerRoman"/>
      <w:lvlText w:val="%3."/>
      <w:lvlJc w:val="right"/>
      <w:pPr>
        <w:ind w:left="1366" w:hanging="180"/>
      </w:pPr>
    </w:lvl>
    <w:lvl w:ilvl="3" w:tplc="0809000F" w:tentative="1">
      <w:start w:val="1"/>
      <w:numFmt w:val="decimal"/>
      <w:lvlText w:val="%4."/>
      <w:lvlJc w:val="left"/>
      <w:pPr>
        <w:ind w:left="2086" w:hanging="360"/>
      </w:pPr>
    </w:lvl>
    <w:lvl w:ilvl="4" w:tplc="08090019" w:tentative="1">
      <w:start w:val="1"/>
      <w:numFmt w:val="lowerLetter"/>
      <w:lvlText w:val="%5."/>
      <w:lvlJc w:val="left"/>
      <w:pPr>
        <w:ind w:left="2806" w:hanging="360"/>
      </w:pPr>
    </w:lvl>
    <w:lvl w:ilvl="5" w:tplc="0809001B" w:tentative="1">
      <w:start w:val="1"/>
      <w:numFmt w:val="lowerRoman"/>
      <w:lvlText w:val="%6."/>
      <w:lvlJc w:val="right"/>
      <w:pPr>
        <w:ind w:left="3526" w:hanging="180"/>
      </w:pPr>
    </w:lvl>
    <w:lvl w:ilvl="6" w:tplc="0809000F" w:tentative="1">
      <w:start w:val="1"/>
      <w:numFmt w:val="decimal"/>
      <w:lvlText w:val="%7."/>
      <w:lvlJc w:val="left"/>
      <w:pPr>
        <w:ind w:left="4246" w:hanging="360"/>
      </w:pPr>
    </w:lvl>
    <w:lvl w:ilvl="7" w:tplc="08090019" w:tentative="1">
      <w:start w:val="1"/>
      <w:numFmt w:val="lowerLetter"/>
      <w:lvlText w:val="%8."/>
      <w:lvlJc w:val="left"/>
      <w:pPr>
        <w:ind w:left="4966" w:hanging="360"/>
      </w:pPr>
    </w:lvl>
    <w:lvl w:ilvl="8" w:tplc="0809001B" w:tentative="1">
      <w:start w:val="1"/>
      <w:numFmt w:val="lowerRoman"/>
      <w:lvlText w:val="%9."/>
      <w:lvlJc w:val="right"/>
      <w:pPr>
        <w:ind w:left="5686" w:hanging="180"/>
      </w:pPr>
    </w:lvl>
  </w:abstractNum>
  <w:abstractNum w:abstractNumId="5" w15:restartNumberingAfterBreak="0">
    <w:nsid w:val="12AA44EC"/>
    <w:multiLevelType w:val="hybridMultilevel"/>
    <w:tmpl w:val="C102E4CC"/>
    <w:lvl w:ilvl="0" w:tplc="B0F2D2C0">
      <w:start w:val="1"/>
      <w:numFmt w:val="lowerLetter"/>
      <w:lvlText w:val="%1)"/>
      <w:lvlJc w:val="left"/>
      <w:pPr>
        <w:ind w:left="1077" w:hanging="283"/>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577B6"/>
    <w:multiLevelType w:val="multilevel"/>
    <w:tmpl w:val="48DA3106"/>
    <w:lvl w:ilvl="0">
      <w:start w:val="1"/>
      <w:numFmt w:val="decimal"/>
      <w:lvlText w:val="%1."/>
      <w:lvlJc w:val="left"/>
      <w:pPr>
        <w:ind w:left="360" w:hanging="360"/>
      </w:pPr>
      <w:rPr>
        <w:rFonts w:hint="default"/>
      </w:rPr>
    </w:lvl>
    <w:lvl w:ilvl="1">
      <w:start w:val="1"/>
      <w:numFmt w:val="decimal"/>
      <w:lvlText w:val="2.%2."/>
      <w:lvlJc w:val="left"/>
      <w:pPr>
        <w:ind w:left="737" w:hanging="7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7DC7F9F"/>
    <w:multiLevelType w:val="hybridMultilevel"/>
    <w:tmpl w:val="B1243298"/>
    <w:lvl w:ilvl="0" w:tplc="A816BEBC">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611C12"/>
    <w:multiLevelType w:val="multilevel"/>
    <w:tmpl w:val="89FC05C8"/>
    <w:lvl w:ilvl="0">
      <w:start w:val="1"/>
      <w:numFmt w:val="decimal"/>
      <w:lvlText w:val="%1."/>
      <w:lvlJc w:val="left"/>
      <w:pPr>
        <w:ind w:left="360" w:hanging="360"/>
      </w:pPr>
      <w:rPr>
        <w:rFonts w:hint="default"/>
      </w:rPr>
    </w:lvl>
    <w:lvl w:ilvl="1">
      <w:start w:val="1"/>
      <w:numFmt w:val="decimal"/>
      <w:lvlText w:val="3.%2."/>
      <w:lvlJc w:val="left"/>
      <w:pPr>
        <w:ind w:left="737" w:hanging="7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1B1790"/>
    <w:multiLevelType w:val="hybridMultilevel"/>
    <w:tmpl w:val="A1D02A72"/>
    <w:lvl w:ilvl="0" w:tplc="DFEAA4AA">
      <w:start w:val="1"/>
      <w:numFmt w:val="lowerLetter"/>
      <w:lvlText w:val="%1)"/>
      <w:lvlJc w:val="left"/>
      <w:pPr>
        <w:ind w:left="283" w:hanging="283"/>
      </w:pPr>
      <w:rPr>
        <w:rFonts w:hint="default"/>
      </w:rPr>
    </w:lvl>
    <w:lvl w:ilvl="1" w:tplc="08090019" w:tentative="1">
      <w:start w:val="1"/>
      <w:numFmt w:val="lowerLetter"/>
      <w:lvlText w:val="%2."/>
      <w:lvlJc w:val="left"/>
      <w:pPr>
        <w:ind w:left="646" w:hanging="360"/>
      </w:pPr>
    </w:lvl>
    <w:lvl w:ilvl="2" w:tplc="0809001B" w:tentative="1">
      <w:start w:val="1"/>
      <w:numFmt w:val="lowerRoman"/>
      <w:lvlText w:val="%3."/>
      <w:lvlJc w:val="right"/>
      <w:pPr>
        <w:ind w:left="1366" w:hanging="180"/>
      </w:pPr>
    </w:lvl>
    <w:lvl w:ilvl="3" w:tplc="0809000F" w:tentative="1">
      <w:start w:val="1"/>
      <w:numFmt w:val="decimal"/>
      <w:lvlText w:val="%4."/>
      <w:lvlJc w:val="left"/>
      <w:pPr>
        <w:ind w:left="2086" w:hanging="360"/>
      </w:pPr>
    </w:lvl>
    <w:lvl w:ilvl="4" w:tplc="08090019" w:tentative="1">
      <w:start w:val="1"/>
      <w:numFmt w:val="lowerLetter"/>
      <w:lvlText w:val="%5."/>
      <w:lvlJc w:val="left"/>
      <w:pPr>
        <w:ind w:left="2806" w:hanging="360"/>
      </w:pPr>
    </w:lvl>
    <w:lvl w:ilvl="5" w:tplc="0809001B" w:tentative="1">
      <w:start w:val="1"/>
      <w:numFmt w:val="lowerRoman"/>
      <w:lvlText w:val="%6."/>
      <w:lvlJc w:val="right"/>
      <w:pPr>
        <w:ind w:left="3526" w:hanging="180"/>
      </w:pPr>
    </w:lvl>
    <w:lvl w:ilvl="6" w:tplc="0809000F" w:tentative="1">
      <w:start w:val="1"/>
      <w:numFmt w:val="decimal"/>
      <w:lvlText w:val="%7."/>
      <w:lvlJc w:val="left"/>
      <w:pPr>
        <w:ind w:left="4246" w:hanging="360"/>
      </w:pPr>
    </w:lvl>
    <w:lvl w:ilvl="7" w:tplc="08090019" w:tentative="1">
      <w:start w:val="1"/>
      <w:numFmt w:val="lowerLetter"/>
      <w:lvlText w:val="%8."/>
      <w:lvlJc w:val="left"/>
      <w:pPr>
        <w:ind w:left="4966" w:hanging="360"/>
      </w:pPr>
    </w:lvl>
    <w:lvl w:ilvl="8" w:tplc="0809001B" w:tentative="1">
      <w:start w:val="1"/>
      <w:numFmt w:val="lowerRoman"/>
      <w:lvlText w:val="%9."/>
      <w:lvlJc w:val="right"/>
      <w:pPr>
        <w:ind w:left="5686" w:hanging="180"/>
      </w:pPr>
    </w:lvl>
  </w:abstractNum>
  <w:abstractNum w:abstractNumId="10" w15:restartNumberingAfterBreak="0">
    <w:nsid w:val="265D7241"/>
    <w:multiLevelType w:val="hybridMultilevel"/>
    <w:tmpl w:val="B0B6E8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6C546D"/>
    <w:multiLevelType w:val="multilevel"/>
    <w:tmpl w:val="AD7E3616"/>
    <w:lvl w:ilvl="0">
      <w:start w:val="1"/>
      <w:numFmt w:val="decimal"/>
      <w:lvlText w:val="%1."/>
      <w:lvlJc w:val="left"/>
      <w:pPr>
        <w:ind w:left="360" w:hanging="360"/>
      </w:pPr>
      <w:rPr>
        <w:rFonts w:hint="default"/>
      </w:rPr>
    </w:lvl>
    <w:lvl w:ilvl="1">
      <w:start w:val="1"/>
      <w:numFmt w:val="decimal"/>
      <w:lvlText w:val="5.%2."/>
      <w:lvlJc w:val="left"/>
      <w:pPr>
        <w:ind w:left="737" w:hanging="7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43341D5"/>
    <w:multiLevelType w:val="hybridMultilevel"/>
    <w:tmpl w:val="334C47E4"/>
    <w:lvl w:ilvl="0" w:tplc="08090011">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A71B13"/>
    <w:multiLevelType w:val="hybridMultilevel"/>
    <w:tmpl w:val="C4A2EFE4"/>
    <w:lvl w:ilvl="0" w:tplc="28D61B7C">
      <w:start w:val="1"/>
      <w:numFmt w:val="lowerLetter"/>
      <w:lvlText w:val="%1)"/>
      <w:lvlJc w:val="left"/>
      <w:pPr>
        <w:ind w:left="283" w:hanging="283"/>
      </w:pPr>
      <w:rPr>
        <w:rFonts w:hint="default"/>
      </w:rPr>
    </w:lvl>
    <w:lvl w:ilvl="1" w:tplc="08090019" w:tentative="1">
      <w:start w:val="1"/>
      <w:numFmt w:val="lowerLetter"/>
      <w:lvlText w:val="%2."/>
      <w:lvlJc w:val="left"/>
      <w:pPr>
        <w:ind w:left="646" w:hanging="360"/>
      </w:pPr>
    </w:lvl>
    <w:lvl w:ilvl="2" w:tplc="0809001B" w:tentative="1">
      <w:start w:val="1"/>
      <w:numFmt w:val="lowerRoman"/>
      <w:lvlText w:val="%3."/>
      <w:lvlJc w:val="right"/>
      <w:pPr>
        <w:ind w:left="1366" w:hanging="180"/>
      </w:pPr>
    </w:lvl>
    <w:lvl w:ilvl="3" w:tplc="0809000F" w:tentative="1">
      <w:start w:val="1"/>
      <w:numFmt w:val="decimal"/>
      <w:lvlText w:val="%4."/>
      <w:lvlJc w:val="left"/>
      <w:pPr>
        <w:ind w:left="2086" w:hanging="360"/>
      </w:pPr>
    </w:lvl>
    <w:lvl w:ilvl="4" w:tplc="08090019" w:tentative="1">
      <w:start w:val="1"/>
      <w:numFmt w:val="lowerLetter"/>
      <w:lvlText w:val="%5."/>
      <w:lvlJc w:val="left"/>
      <w:pPr>
        <w:ind w:left="2806" w:hanging="360"/>
      </w:pPr>
    </w:lvl>
    <w:lvl w:ilvl="5" w:tplc="0809001B" w:tentative="1">
      <w:start w:val="1"/>
      <w:numFmt w:val="lowerRoman"/>
      <w:lvlText w:val="%6."/>
      <w:lvlJc w:val="right"/>
      <w:pPr>
        <w:ind w:left="3526" w:hanging="180"/>
      </w:pPr>
    </w:lvl>
    <w:lvl w:ilvl="6" w:tplc="0809000F" w:tentative="1">
      <w:start w:val="1"/>
      <w:numFmt w:val="decimal"/>
      <w:lvlText w:val="%7."/>
      <w:lvlJc w:val="left"/>
      <w:pPr>
        <w:ind w:left="4246" w:hanging="360"/>
      </w:pPr>
    </w:lvl>
    <w:lvl w:ilvl="7" w:tplc="08090019" w:tentative="1">
      <w:start w:val="1"/>
      <w:numFmt w:val="lowerLetter"/>
      <w:lvlText w:val="%8."/>
      <w:lvlJc w:val="left"/>
      <w:pPr>
        <w:ind w:left="4966" w:hanging="360"/>
      </w:pPr>
    </w:lvl>
    <w:lvl w:ilvl="8" w:tplc="0809001B" w:tentative="1">
      <w:start w:val="1"/>
      <w:numFmt w:val="lowerRoman"/>
      <w:lvlText w:val="%9."/>
      <w:lvlJc w:val="right"/>
      <w:pPr>
        <w:ind w:left="5686" w:hanging="180"/>
      </w:pPr>
    </w:lvl>
  </w:abstractNum>
  <w:abstractNum w:abstractNumId="14" w15:restartNumberingAfterBreak="0">
    <w:nsid w:val="34B366E1"/>
    <w:multiLevelType w:val="hybridMultilevel"/>
    <w:tmpl w:val="EB3E6D5A"/>
    <w:lvl w:ilvl="0" w:tplc="E266067A">
      <w:start w:val="1"/>
      <w:numFmt w:val="lowerLetter"/>
      <w:lvlText w:val="%1)"/>
      <w:lvlJc w:val="left"/>
      <w:pPr>
        <w:ind w:left="1077"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317AED"/>
    <w:multiLevelType w:val="multilevel"/>
    <w:tmpl w:val="A002DCC8"/>
    <w:lvl w:ilvl="0">
      <w:start w:val="1"/>
      <w:numFmt w:val="decimal"/>
      <w:lvlText w:val="%1."/>
      <w:lvlJc w:val="left"/>
      <w:pPr>
        <w:ind w:left="360" w:hanging="360"/>
      </w:pPr>
      <w:rPr>
        <w:rFonts w:hint="default"/>
      </w:rPr>
    </w:lvl>
    <w:lvl w:ilvl="1">
      <w:start w:val="1"/>
      <w:numFmt w:val="decimal"/>
      <w:lvlText w:val="4.%2."/>
      <w:lvlJc w:val="left"/>
      <w:pPr>
        <w:ind w:left="737" w:hanging="7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4CE6715"/>
    <w:multiLevelType w:val="hybridMultilevel"/>
    <w:tmpl w:val="D72AFC6A"/>
    <w:lvl w:ilvl="0" w:tplc="0E285B5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D84840"/>
    <w:multiLevelType w:val="hybridMultilevel"/>
    <w:tmpl w:val="29005EE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50A4CB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B625F7"/>
    <w:multiLevelType w:val="multilevel"/>
    <w:tmpl w:val="B016C426"/>
    <w:lvl w:ilvl="0">
      <w:start w:val="1"/>
      <w:numFmt w:val="decimal"/>
      <w:lvlText w:val="%1."/>
      <w:lvlJc w:val="left"/>
      <w:pPr>
        <w:ind w:left="360" w:hanging="360"/>
      </w:pPr>
      <w:rPr>
        <w:rFonts w:hint="default"/>
      </w:rPr>
    </w:lvl>
    <w:lvl w:ilvl="1">
      <w:start w:val="1"/>
      <w:numFmt w:val="decimal"/>
      <w:lvlText w:val="6.%2."/>
      <w:lvlJc w:val="left"/>
      <w:pPr>
        <w:ind w:left="737" w:hanging="7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6992C0F"/>
    <w:multiLevelType w:val="multilevel"/>
    <w:tmpl w:val="5CE4F83A"/>
    <w:lvl w:ilvl="0">
      <w:start w:val="1"/>
      <w:numFmt w:val="decimal"/>
      <w:lvlText w:val="%1."/>
      <w:lvlJc w:val="left"/>
      <w:pPr>
        <w:ind w:left="680" w:hanging="680"/>
      </w:pPr>
      <w:rPr>
        <w:b w:val="0"/>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1" w15:restartNumberingAfterBreak="0">
    <w:nsid w:val="479C7A45"/>
    <w:multiLevelType w:val="multilevel"/>
    <w:tmpl w:val="A23A1DB8"/>
    <w:lvl w:ilvl="0">
      <w:start w:val="1"/>
      <w:numFmt w:val="decimal"/>
      <w:lvlText w:val="%1."/>
      <w:lvlJc w:val="left"/>
      <w:pPr>
        <w:ind w:left="360" w:hanging="360"/>
      </w:pPr>
      <w:rPr>
        <w:rFonts w:hint="default"/>
      </w:rPr>
    </w:lvl>
    <w:lvl w:ilvl="1">
      <w:start w:val="1"/>
      <w:numFmt w:val="decimal"/>
      <w:lvlText w:val="5.%2."/>
      <w:lvlJc w:val="left"/>
      <w:pPr>
        <w:ind w:left="737" w:hanging="7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876275"/>
    <w:multiLevelType w:val="multilevel"/>
    <w:tmpl w:val="55A61CE2"/>
    <w:lvl w:ilvl="0">
      <w:start w:val="1"/>
      <w:numFmt w:val="decimal"/>
      <w:lvlText w:val="7.%1."/>
      <w:lvlJc w:val="left"/>
      <w:pPr>
        <w:ind w:left="360" w:hanging="360"/>
      </w:pPr>
      <w:rPr>
        <w:rFonts w:hint="default"/>
      </w:rPr>
    </w:lvl>
    <w:lvl w:ilvl="1">
      <w:start w:val="1"/>
      <w:numFmt w:val="decimal"/>
      <w:lvlText w:val="7.%2."/>
      <w:lvlJc w:val="left"/>
      <w:pPr>
        <w:ind w:left="737" w:hanging="7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CEC32A1"/>
    <w:multiLevelType w:val="hybridMultilevel"/>
    <w:tmpl w:val="16007070"/>
    <w:lvl w:ilvl="0" w:tplc="7472A464">
      <w:start w:val="1"/>
      <w:numFmt w:val="lowerLetter"/>
      <w:lvlText w:val="%1)"/>
      <w:lvlJc w:val="left"/>
      <w:pPr>
        <w:ind w:left="283"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3E2879"/>
    <w:multiLevelType w:val="hybridMultilevel"/>
    <w:tmpl w:val="FF54E47C"/>
    <w:lvl w:ilvl="0" w:tplc="982070D4">
      <w:start w:val="1"/>
      <w:numFmt w:val="lowerLetter"/>
      <w:lvlText w:val="%1)"/>
      <w:lvlJc w:val="left"/>
      <w:pPr>
        <w:ind w:left="286" w:hanging="286"/>
      </w:pPr>
      <w:rPr>
        <w:rFonts w:hint="default"/>
      </w:rPr>
    </w:lvl>
    <w:lvl w:ilvl="1" w:tplc="08090019" w:tentative="1">
      <w:start w:val="1"/>
      <w:numFmt w:val="lowerLetter"/>
      <w:lvlText w:val="%2."/>
      <w:lvlJc w:val="left"/>
      <w:pPr>
        <w:ind w:left="646" w:hanging="360"/>
      </w:pPr>
    </w:lvl>
    <w:lvl w:ilvl="2" w:tplc="0809001B" w:tentative="1">
      <w:start w:val="1"/>
      <w:numFmt w:val="lowerRoman"/>
      <w:lvlText w:val="%3."/>
      <w:lvlJc w:val="right"/>
      <w:pPr>
        <w:ind w:left="1366" w:hanging="180"/>
      </w:pPr>
    </w:lvl>
    <w:lvl w:ilvl="3" w:tplc="0809000F" w:tentative="1">
      <w:start w:val="1"/>
      <w:numFmt w:val="decimal"/>
      <w:lvlText w:val="%4."/>
      <w:lvlJc w:val="left"/>
      <w:pPr>
        <w:ind w:left="2086" w:hanging="360"/>
      </w:pPr>
    </w:lvl>
    <w:lvl w:ilvl="4" w:tplc="08090019" w:tentative="1">
      <w:start w:val="1"/>
      <w:numFmt w:val="lowerLetter"/>
      <w:lvlText w:val="%5."/>
      <w:lvlJc w:val="left"/>
      <w:pPr>
        <w:ind w:left="2806" w:hanging="360"/>
      </w:pPr>
    </w:lvl>
    <w:lvl w:ilvl="5" w:tplc="0809001B" w:tentative="1">
      <w:start w:val="1"/>
      <w:numFmt w:val="lowerRoman"/>
      <w:lvlText w:val="%6."/>
      <w:lvlJc w:val="right"/>
      <w:pPr>
        <w:ind w:left="3526" w:hanging="180"/>
      </w:pPr>
    </w:lvl>
    <w:lvl w:ilvl="6" w:tplc="0809000F" w:tentative="1">
      <w:start w:val="1"/>
      <w:numFmt w:val="decimal"/>
      <w:lvlText w:val="%7."/>
      <w:lvlJc w:val="left"/>
      <w:pPr>
        <w:ind w:left="4246" w:hanging="360"/>
      </w:pPr>
    </w:lvl>
    <w:lvl w:ilvl="7" w:tplc="08090019" w:tentative="1">
      <w:start w:val="1"/>
      <w:numFmt w:val="lowerLetter"/>
      <w:lvlText w:val="%8."/>
      <w:lvlJc w:val="left"/>
      <w:pPr>
        <w:ind w:left="4966" w:hanging="360"/>
      </w:pPr>
    </w:lvl>
    <w:lvl w:ilvl="8" w:tplc="0809001B" w:tentative="1">
      <w:start w:val="1"/>
      <w:numFmt w:val="lowerRoman"/>
      <w:lvlText w:val="%9."/>
      <w:lvlJc w:val="right"/>
      <w:pPr>
        <w:ind w:left="5686" w:hanging="180"/>
      </w:pPr>
    </w:lvl>
  </w:abstractNum>
  <w:abstractNum w:abstractNumId="25" w15:restartNumberingAfterBreak="0">
    <w:nsid w:val="594D2715"/>
    <w:multiLevelType w:val="hybridMultilevel"/>
    <w:tmpl w:val="F48EA60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C1E3883"/>
    <w:multiLevelType w:val="hybridMultilevel"/>
    <w:tmpl w:val="8854993C"/>
    <w:lvl w:ilvl="0" w:tplc="82D21C6A">
      <w:start w:val="1"/>
      <w:numFmt w:val="lowerLetter"/>
      <w:lvlText w:val="%1)"/>
      <w:lvlJc w:val="left"/>
      <w:pPr>
        <w:ind w:left="283" w:hanging="283"/>
      </w:pPr>
      <w:rPr>
        <w:rFonts w:hint="default"/>
      </w:rPr>
    </w:lvl>
    <w:lvl w:ilvl="1" w:tplc="08090019" w:tentative="1">
      <w:start w:val="1"/>
      <w:numFmt w:val="lowerLetter"/>
      <w:lvlText w:val="%2."/>
      <w:lvlJc w:val="left"/>
      <w:pPr>
        <w:ind w:left="646" w:hanging="360"/>
      </w:pPr>
    </w:lvl>
    <w:lvl w:ilvl="2" w:tplc="0809001B" w:tentative="1">
      <w:start w:val="1"/>
      <w:numFmt w:val="lowerRoman"/>
      <w:lvlText w:val="%3."/>
      <w:lvlJc w:val="right"/>
      <w:pPr>
        <w:ind w:left="1366" w:hanging="180"/>
      </w:pPr>
    </w:lvl>
    <w:lvl w:ilvl="3" w:tplc="0809000F" w:tentative="1">
      <w:start w:val="1"/>
      <w:numFmt w:val="decimal"/>
      <w:lvlText w:val="%4."/>
      <w:lvlJc w:val="left"/>
      <w:pPr>
        <w:ind w:left="2086" w:hanging="360"/>
      </w:pPr>
    </w:lvl>
    <w:lvl w:ilvl="4" w:tplc="08090019" w:tentative="1">
      <w:start w:val="1"/>
      <w:numFmt w:val="lowerLetter"/>
      <w:lvlText w:val="%5."/>
      <w:lvlJc w:val="left"/>
      <w:pPr>
        <w:ind w:left="2806" w:hanging="360"/>
      </w:pPr>
    </w:lvl>
    <w:lvl w:ilvl="5" w:tplc="0809001B" w:tentative="1">
      <w:start w:val="1"/>
      <w:numFmt w:val="lowerRoman"/>
      <w:lvlText w:val="%6."/>
      <w:lvlJc w:val="right"/>
      <w:pPr>
        <w:ind w:left="3526" w:hanging="180"/>
      </w:pPr>
    </w:lvl>
    <w:lvl w:ilvl="6" w:tplc="0809000F" w:tentative="1">
      <w:start w:val="1"/>
      <w:numFmt w:val="decimal"/>
      <w:lvlText w:val="%7."/>
      <w:lvlJc w:val="left"/>
      <w:pPr>
        <w:ind w:left="4246" w:hanging="360"/>
      </w:pPr>
    </w:lvl>
    <w:lvl w:ilvl="7" w:tplc="08090019" w:tentative="1">
      <w:start w:val="1"/>
      <w:numFmt w:val="lowerLetter"/>
      <w:lvlText w:val="%8."/>
      <w:lvlJc w:val="left"/>
      <w:pPr>
        <w:ind w:left="4966" w:hanging="360"/>
      </w:pPr>
    </w:lvl>
    <w:lvl w:ilvl="8" w:tplc="0809001B" w:tentative="1">
      <w:start w:val="1"/>
      <w:numFmt w:val="lowerRoman"/>
      <w:lvlText w:val="%9."/>
      <w:lvlJc w:val="right"/>
      <w:pPr>
        <w:ind w:left="5686" w:hanging="180"/>
      </w:pPr>
    </w:lvl>
  </w:abstractNum>
  <w:abstractNum w:abstractNumId="27" w15:restartNumberingAfterBreak="0">
    <w:nsid w:val="5D6B2D27"/>
    <w:multiLevelType w:val="hybridMultilevel"/>
    <w:tmpl w:val="E54C35B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9A05AE"/>
    <w:multiLevelType w:val="multilevel"/>
    <w:tmpl w:val="4FDABCC0"/>
    <w:lvl w:ilvl="0">
      <w:start w:val="1"/>
      <w:numFmt w:val="decimal"/>
      <w:lvlText w:val="%1."/>
      <w:lvlJc w:val="left"/>
      <w:pPr>
        <w:ind w:left="360" w:hanging="360"/>
      </w:pPr>
      <w:rPr>
        <w:rFonts w:hint="default"/>
      </w:rPr>
    </w:lvl>
    <w:lvl w:ilvl="1">
      <w:start w:val="1"/>
      <w:numFmt w:val="decimal"/>
      <w:lvlText w:val="5.%2."/>
      <w:lvlJc w:val="left"/>
      <w:pPr>
        <w:ind w:left="737" w:hanging="7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F42391A"/>
    <w:multiLevelType w:val="hybridMultilevel"/>
    <w:tmpl w:val="EF6A4A3C"/>
    <w:lvl w:ilvl="0" w:tplc="F440BC1C">
      <w:start w:val="1"/>
      <w:numFmt w:val="lowerLetter"/>
      <w:lvlText w:val="%1)"/>
      <w:lvlJc w:val="left"/>
      <w:pPr>
        <w:ind w:left="286" w:hanging="286"/>
      </w:pPr>
      <w:rPr>
        <w:rFonts w:hint="default"/>
      </w:rPr>
    </w:lvl>
    <w:lvl w:ilvl="1" w:tplc="08090019" w:tentative="1">
      <w:start w:val="1"/>
      <w:numFmt w:val="lowerLetter"/>
      <w:lvlText w:val="%2."/>
      <w:lvlJc w:val="left"/>
      <w:pPr>
        <w:ind w:left="646" w:hanging="360"/>
      </w:pPr>
    </w:lvl>
    <w:lvl w:ilvl="2" w:tplc="0809001B" w:tentative="1">
      <w:start w:val="1"/>
      <w:numFmt w:val="lowerRoman"/>
      <w:lvlText w:val="%3."/>
      <w:lvlJc w:val="right"/>
      <w:pPr>
        <w:ind w:left="1366" w:hanging="180"/>
      </w:pPr>
    </w:lvl>
    <w:lvl w:ilvl="3" w:tplc="0809000F" w:tentative="1">
      <w:start w:val="1"/>
      <w:numFmt w:val="decimal"/>
      <w:lvlText w:val="%4."/>
      <w:lvlJc w:val="left"/>
      <w:pPr>
        <w:ind w:left="2086" w:hanging="360"/>
      </w:pPr>
    </w:lvl>
    <w:lvl w:ilvl="4" w:tplc="08090019" w:tentative="1">
      <w:start w:val="1"/>
      <w:numFmt w:val="lowerLetter"/>
      <w:lvlText w:val="%5."/>
      <w:lvlJc w:val="left"/>
      <w:pPr>
        <w:ind w:left="2806" w:hanging="360"/>
      </w:pPr>
    </w:lvl>
    <w:lvl w:ilvl="5" w:tplc="0809001B" w:tentative="1">
      <w:start w:val="1"/>
      <w:numFmt w:val="lowerRoman"/>
      <w:lvlText w:val="%6."/>
      <w:lvlJc w:val="right"/>
      <w:pPr>
        <w:ind w:left="3526" w:hanging="180"/>
      </w:pPr>
    </w:lvl>
    <w:lvl w:ilvl="6" w:tplc="0809000F" w:tentative="1">
      <w:start w:val="1"/>
      <w:numFmt w:val="decimal"/>
      <w:lvlText w:val="%7."/>
      <w:lvlJc w:val="left"/>
      <w:pPr>
        <w:ind w:left="4246" w:hanging="360"/>
      </w:pPr>
    </w:lvl>
    <w:lvl w:ilvl="7" w:tplc="08090019" w:tentative="1">
      <w:start w:val="1"/>
      <w:numFmt w:val="lowerLetter"/>
      <w:lvlText w:val="%8."/>
      <w:lvlJc w:val="left"/>
      <w:pPr>
        <w:ind w:left="4966" w:hanging="360"/>
      </w:pPr>
    </w:lvl>
    <w:lvl w:ilvl="8" w:tplc="0809001B" w:tentative="1">
      <w:start w:val="1"/>
      <w:numFmt w:val="lowerRoman"/>
      <w:lvlText w:val="%9."/>
      <w:lvlJc w:val="right"/>
      <w:pPr>
        <w:ind w:left="5686" w:hanging="180"/>
      </w:pPr>
    </w:lvl>
  </w:abstractNum>
  <w:abstractNum w:abstractNumId="30" w15:restartNumberingAfterBreak="0">
    <w:nsid w:val="638C4EC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DE2042"/>
    <w:multiLevelType w:val="multilevel"/>
    <w:tmpl w:val="4316F7E2"/>
    <w:lvl w:ilvl="0">
      <w:start w:val="1"/>
      <w:numFmt w:val="decimal"/>
      <w:lvlText w:val="%1."/>
      <w:lvlJc w:val="left"/>
      <w:pPr>
        <w:ind w:left="360" w:hanging="360"/>
      </w:pPr>
      <w:rPr>
        <w:rFonts w:hint="default"/>
      </w:rPr>
    </w:lvl>
    <w:lvl w:ilvl="1">
      <w:start w:val="1"/>
      <w:numFmt w:val="decimal"/>
      <w:lvlText w:val="%1.%2."/>
      <w:lvlJc w:val="left"/>
      <w:pPr>
        <w:ind w:left="737" w:hanging="737"/>
      </w:pPr>
      <w:rPr>
        <w:rFonts w:ascii="Arial" w:hAnsi="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27D767E"/>
    <w:multiLevelType w:val="multilevel"/>
    <w:tmpl w:val="53124C56"/>
    <w:lvl w:ilvl="0">
      <w:start w:val="1"/>
      <w:numFmt w:val="decimal"/>
      <w:lvlText w:val="%1."/>
      <w:lvlJc w:val="left"/>
      <w:pPr>
        <w:ind w:left="360" w:hanging="360"/>
      </w:pPr>
      <w:rPr>
        <w:rFonts w:hint="default"/>
      </w:rPr>
    </w:lvl>
    <w:lvl w:ilvl="1">
      <w:start w:val="1"/>
      <w:numFmt w:val="decimal"/>
      <w:lvlText w:val="5.%2."/>
      <w:lvlJc w:val="left"/>
      <w:pPr>
        <w:ind w:left="737" w:hanging="7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7262DE2"/>
    <w:multiLevelType w:val="multilevel"/>
    <w:tmpl w:val="602E417E"/>
    <w:lvl w:ilvl="0">
      <w:start w:val="1"/>
      <w:numFmt w:val="decimal"/>
      <w:lvlText w:val="%1."/>
      <w:lvlJc w:val="left"/>
      <w:pPr>
        <w:ind w:left="360" w:hanging="360"/>
      </w:pPr>
      <w:rPr>
        <w:rFonts w:hint="default"/>
      </w:rPr>
    </w:lvl>
    <w:lvl w:ilvl="1">
      <w:start w:val="1"/>
      <w:numFmt w:val="decimal"/>
      <w:lvlText w:val="7.%2."/>
      <w:lvlJc w:val="left"/>
      <w:pPr>
        <w:ind w:left="737" w:hanging="7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79697E"/>
    <w:multiLevelType w:val="hybridMultilevel"/>
    <w:tmpl w:val="F8E40812"/>
    <w:lvl w:ilvl="0" w:tplc="5944D864">
      <w:start w:val="1"/>
      <w:numFmt w:val="decimal"/>
      <w:lvlText w:val="%1."/>
      <w:lvlJc w:val="left"/>
      <w:pPr>
        <w:ind w:left="510" w:hanging="5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DFE4F9C"/>
    <w:multiLevelType w:val="hybridMultilevel"/>
    <w:tmpl w:val="B9D80AAC"/>
    <w:lvl w:ilvl="0" w:tplc="6EDC8AD0">
      <w:start w:val="8"/>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762B04"/>
    <w:multiLevelType w:val="hybridMultilevel"/>
    <w:tmpl w:val="26804ADC"/>
    <w:lvl w:ilvl="0" w:tplc="20B8ACFE">
      <w:start w:val="1"/>
      <w:numFmt w:val="lowerLetter"/>
      <w:lvlText w:val="%1)"/>
      <w:lvlJc w:val="left"/>
      <w:pPr>
        <w:ind w:left="286" w:hanging="286"/>
      </w:pPr>
      <w:rPr>
        <w:rFonts w:hint="default"/>
      </w:rPr>
    </w:lvl>
    <w:lvl w:ilvl="1" w:tplc="08090019" w:tentative="1">
      <w:start w:val="1"/>
      <w:numFmt w:val="lowerLetter"/>
      <w:lvlText w:val="%2."/>
      <w:lvlJc w:val="left"/>
      <w:pPr>
        <w:ind w:left="646" w:hanging="360"/>
      </w:pPr>
    </w:lvl>
    <w:lvl w:ilvl="2" w:tplc="0809001B" w:tentative="1">
      <w:start w:val="1"/>
      <w:numFmt w:val="lowerRoman"/>
      <w:lvlText w:val="%3."/>
      <w:lvlJc w:val="right"/>
      <w:pPr>
        <w:ind w:left="1366" w:hanging="180"/>
      </w:pPr>
    </w:lvl>
    <w:lvl w:ilvl="3" w:tplc="0809000F" w:tentative="1">
      <w:start w:val="1"/>
      <w:numFmt w:val="decimal"/>
      <w:lvlText w:val="%4."/>
      <w:lvlJc w:val="left"/>
      <w:pPr>
        <w:ind w:left="2086" w:hanging="360"/>
      </w:pPr>
    </w:lvl>
    <w:lvl w:ilvl="4" w:tplc="08090019" w:tentative="1">
      <w:start w:val="1"/>
      <w:numFmt w:val="lowerLetter"/>
      <w:lvlText w:val="%5."/>
      <w:lvlJc w:val="left"/>
      <w:pPr>
        <w:ind w:left="2806" w:hanging="360"/>
      </w:pPr>
    </w:lvl>
    <w:lvl w:ilvl="5" w:tplc="0809001B" w:tentative="1">
      <w:start w:val="1"/>
      <w:numFmt w:val="lowerRoman"/>
      <w:lvlText w:val="%6."/>
      <w:lvlJc w:val="right"/>
      <w:pPr>
        <w:ind w:left="3526" w:hanging="180"/>
      </w:pPr>
    </w:lvl>
    <w:lvl w:ilvl="6" w:tplc="0809000F" w:tentative="1">
      <w:start w:val="1"/>
      <w:numFmt w:val="decimal"/>
      <w:lvlText w:val="%7."/>
      <w:lvlJc w:val="left"/>
      <w:pPr>
        <w:ind w:left="4246" w:hanging="360"/>
      </w:pPr>
    </w:lvl>
    <w:lvl w:ilvl="7" w:tplc="08090019" w:tentative="1">
      <w:start w:val="1"/>
      <w:numFmt w:val="lowerLetter"/>
      <w:lvlText w:val="%8."/>
      <w:lvlJc w:val="left"/>
      <w:pPr>
        <w:ind w:left="4966" w:hanging="360"/>
      </w:pPr>
    </w:lvl>
    <w:lvl w:ilvl="8" w:tplc="0809001B" w:tentative="1">
      <w:start w:val="1"/>
      <w:numFmt w:val="lowerRoman"/>
      <w:lvlText w:val="%9."/>
      <w:lvlJc w:val="right"/>
      <w:pPr>
        <w:ind w:left="5686" w:hanging="180"/>
      </w:pPr>
    </w:lvl>
  </w:abstractNum>
  <w:num w:numId="1">
    <w:abstractNumId w:val="10"/>
  </w:num>
  <w:num w:numId="2">
    <w:abstractNumId w:val="16"/>
  </w:num>
  <w:num w:numId="3">
    <w:abstractNumId w:val="1"/>
  </w:num>
  <w:num w:numId="4">
    <w:abstractNumId w:val="5"/>
  </w:num>
  <w:num w:numId="5">
    <w:abstractNumId w:val="12"/>
  </w:num>
  <w:num w:numId="6">
    <w:abstractNumId w:val="3"/>
  </w:num>
  <w:num w:numId="7">
    <w:abstractNumId w:val="7"/>
  </w:num>
  <w:num w:numId="8">
    <w:abstractNumId w:val="35"/>
  </w:num>
  <w:num w:numId="9">
    <w:abstractNumId w:val="27"/>
  </w:num>
  <w:num w:numId="10">
    <w:abstractNumId w:val="20"/>
  </w:num>
  <w:num w:numId="11">
    <w:abstractNumId w:val="30"/>
  </w:num>
  <w:num w:numId="12">
    <w:abstractNumId w:val="2"/>
  </w:num>
  <w:num w:numId="13">
    <w:abstractNumId w:val="4"/>
  </w:num>
  <w:num w:numId="14">
    <w:abstractNumId w:val="24"/>
  </w:num>
  <w:num w:numId="15">
    <w:abstractNumId w:val="29"/>
  </w:num>
  <w:num w:numId="16">
    <w:abstractNumId w:val="36"/>
  </w:num>
  <w:num w:numId="17">
    <w:abstractNumId w:val="25"/>
  </w:num>
  <w:num w:numId="18">
    <w:abstractNumId w:val="17"/>
  </w:num>
  <w:num w:numId="19">
    <w:abstractNumId w:val="0"/>
  </w:num>
  <w:num w:numId="20">
    <w:abstractNumId w:val="26"/>
  </w:num>
  <w:num w:numId="21">
    <w:abstractNumId w:val="13"/>
  </w:num>
  <w:num w:numId="22">
    <w:abstractNumId w:val="9"/>
  </w:num>
  <w:num w:numId="23">
    <w:abstractNumId w:val="14"/>
  </w:num>
  <w:num w:numId="24">
    <w:abstractNumId w:val="31"/>
  </w:num>
  <w:num w:numId="25">
    <w:abstractNumId w:val="6"/>
  </w:num>
  <w:num w:numId="26">
    <w:abstractNumId w:val="18"/>
  </w:num>
  <w:num w:numId="27">
    <w:abstractNumId w:val="8"/>
  </w:num>
  <w:num w:numId="28">
    <w:abstractNumId w:val="15"/>
  </w:num>
  <w:num w:numId="29">
    <w:abstractNumId w:val="11"/>
  </w:num>
  <w:num w:numId="30">
    <w:abstractNumId w:val="28"/>
  </w:num>
  <w:num w:numId="31">
    <w:abstractNumId w:val="32"/>
  </w:num>
  <w:num w:numId="32">
    <w:abstractNumId w:val="21"/>
  </w:num>
  <w:num w:numId="33">
    <w:abstractNumId w:val="19"/>
  </w:num>
  <w:num w:numId="34">
    <w:abstractNumId w:val="33"/>
  </w:num>
  <w:num w:numId="35">
    <w:abstractNumId w:val="22"/>
  </w:num>
  <w:num w:numId="36">
    <w:abstractNumId w:val="23"/>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10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FC5"/>
    <w:rsid w:val="00003815"/>
    <w:rsid w:val="00013919"/>
    <w:rsid w:val="000218E3"/>
    <w:rsid w:val="00031AE9"/>
    <w:rsid w:val="00052630"/>
    <w:rsid w:val="000526E7"/>
    <w:rsid w:val="000549CE"/>
    <w:rsid w:val="000614C2"/>
    <w:rsid w:val="00066C16"/>
    <w:rsid w:val="0006706D"/>
    <w:rsid w:val="00077D18"/>
    <w:rsid w:val="00083967"/>
    <w:rsid w:val="000A0700"/>
    <w:rsid w:val="000A2CC1"/>
    <w:rsid w:val="000A50A9"/>
    <w:rsid w:val="000A50D7"/>
    <w:rsid w:val="000B007F"/>
    <w:rsid w:val="000B5539"/>
    <w:rsid w:val="000B6E77"/>
    <w:rsid w:val="000C0444"/>
    <w:rsid w:val="000D00DA"/>
    <w:rsid w:val="000E22CB"/>
    <w:rsid w:val="000F07CE"/>
    <w:rsid w:val="000F26D5"/>
    <w:rsid w:val="000F6D0D"/>
    <w:rsid w:val="00103BAD"/>
    <w:rsid w:val="00111F24"/>
    <w:rsid w:val="001211A9"/>
    <w:rsid w:val="00135D32"/>
    <w:rsid w:val="00140066"/>
    <w:rsid w:val="001564FB"/>
    <w:rsid w:val="00167F7A"/>
    <w:rsid w:val="00172D54"/>
    <w:rsid w:val="00180FF5"/>
    <w:rsid w:val="00187665"/>
    <w:rsid w:val="00196B06"/>
    <w:rsid w:val="001A4B1B"/>
    <w:rsid w:val="001A716F"/>
    <w:rsid w:val="001B1C83"/>
    <w:rsid w:val="001B4637"/>
    <w:rsid w:val="001B62B0"/>
    <w:rsid w:val="001C232C"/>
    <w:rsid w:val="001C6344"/>
    <w:rsid w:val="001C63F4"/>
    <w:rsid w:val="001C6F24"/>
    <w:rsid w:val="001E2587"/>
    <w:rsid w:val="00205B40"/>
    <w:rsid w:val="00214FD6"/>
    <w:rsid w:val="00221D42"/>
    <w:rsid w:val="00223A40"/>
    <w:rsid w:val="0022796B"/>
    <w:rsid w:val="00254405"/>
    <w:rsid w:val="002676B7"/>
    <w:rsid w:val="00286301"/>
    <w:rsid w:val="00295801"/>
    <w:rsid w:val="00296A1F"/>
    <w:rsid w:val="002A41D3"/>
    <w:rsid w:val="002A4A55"/>
    <w:rsid w:val="002C339B"/>
    <w:rsid w:val="002C572F"/>
    <w:rsid w:val="002C5974"/>
    <w:rsid w:val="002E1C81"/>
    <w:rsid w:val="002E29E8"/>
    <w:rsid w:val="002E3F9F"/>
    <w:rsid w:val="002E4E07"/>
    <w:rsid w:val="003043A3"/>
    <w:rsid w:val="00305F2D"/>
    <w:rsid w:val="00310DF6"/>
    <w:rsid w:val="003133E8"/>
    <w:rsid w:val="0031783A"/>
    <w:rsid w:val="00320F24"/>
    <w:rsid w:val="00334C2B"/>
    <w:rsid w:val="003532D2"/>
    <w:rsid w:val="003553B5"/>
    <w:rsid w:val="00356495"/>
    <w:rsid w:val="00357927"/>
    <w:rsid w:val="00365CE9"/>
    <w:rsid w:val="0037487B"/>
    <w:rsid w:val="003844D7"/>
    <w:rsid w:val="00393299"/>
    <w:rsid w:val="003C03F8"/>
    <w:rsid w:val="003C2975"/>
    <w:rsid w:val="003C4B3F"/>
    <w:rsid w:val="003C7A33"/>
    <w:rsid w:val="003D20DA"/>
    <w:rsid w:val="003D2E5A"/>
    <w:rsid w:val="003D4B4B"/>
    <w:rsid w:val="003D63E1"/>
    <w:rsid w:val="003E151C"/>
    <w:rsid w:val="003E76D3"/>
    <w:rsid w:val="003F1D82"/>
    <w:rsid w:val="003F7AFF"/>
    <w:rsid w:val="0040085A"/>
    <w:rsid w:val="004116AC"/>
    <w:rsid w:val="004208FE"/>
    <w:rsid w:val="00433F85"/>
    <w:rsid w:val="004359BE"/>
    <w:rsid w:val="0044419F"/>
    <w:rsid w:val="004503A7"/>
    <w:rsid w:val="004549C4"/>
    <w:rsid w:val="00460F4F"/>
    <w:rsid w:val="00466C3C"/>
    <w:rsid w:val="0047121A"/>
    <w:rsid w:val="00474369"/>
    <w:rsid w:val="00483DCF"/>
    <w:rsid w:val="00485E26"/>
    <w:rsid w:val="00486A96"/>
    <w:rsid w:val="004A0092"/>
    <w:rsid w:val="004A1F32"/>
    <w:rsid w:val="004C04BE"/>
    <w:rsid w:val="004C2FBD"/>
    <w:rsid w:val="004C6AB7"/>
    <w:rsid w:val="004C79B5"/>
    <w:rsid w:val="004E153C"/>
    <w:rsid w:val="004E21EC"/>
    <w:rsid w:val="004E50FF"/>
    <w:rsid w:val="004E57DA"/>
    <w:rsid w:val="004F7255"/>
    <w:rsid w:val="004F7AEC"/>
    <w:rsid w:val="00500AEC"/>
    <w:rsid w:val="005068D4"/>
    <w:rsid w:val="005132D9"/>
    <w:rsid w:val="00516C8A"/>
    <w:rsid w:val="00524554"/>
    <w:rsid w:val="00531DF8"/>
    <w:rsid w:val="005357B8"/>
    <w:rsid w:val="0055017B"/>
    <w:rsid w:val="0055709F"/>
    <w:rsid w:val="00571959"/>
    <w:rsid w:val="0057201B"/>
    <w:rsid w:val="005927CC"/>
    <w:rsid w:val="005A5FFE"/>
    <w:rsid w:val="005B56AA"/>
    <w:rsid w:val="005C03FC"/>
    <w:rsid w:val="005C4FD0"/>
    <w:rsid w:val="005D4C0E"/>
    <w:rsid w:val="005E01B8"/>
    <w:rsid w:val="005E783C"/>
    <w:rsid w:val="005F43CB"/>
    <w:rsid w:val="005F65B8"/>
    <w:rsid w:val="00603B5C"/>
    <w:rsid w:val="0061659D"/>
    <w:rsid w:val="00625CCA"/>
    <w:rsid w:val="00625F42"/>
    <w:rsid w:val="0063391B"/>
    <w:rsid w:val="00636BB8"/>
    <w:rsid w:val="00643E3D"/>
    <w:rsid w:val="00650497"/>
    <w:rsid w:val="00653185"/>
    <w:rsid w:val="00660EC9"/>
    <w:rsid w:val="006849B2"/>
    <w:rsid w:val="006936FC"/>
    <w:rsid w:val="006B190D"/>
    <w:rsid w:val="006B2CB3"/>
    <w:rsid w:val="006B6394"/>
    <w:rsid w:val="006D6588"/>
    <w:rsid w:val="006E1312"/>
    <w:rsid w:val="006E1F39"/>
    <w:rsid w:val="006F222C"/>
    <w:rsid w:val="0070223C"/>
    <w:rsid w:val="00705D90"/>
    <w:rsid w:val="007243D7"/>
    <w:rsid w:val="00737D60"/>
    <w:rsid w:val="00741649"/>
    <w:rsid w:val="00742497"/>
    <w:rsid w:val="00744F6B"/>
    <w:rsid w:val="00761E42"/>
    <w:rsid w:val="0076255C"/>
    <w:rsid w:val="007717C2"/>
    <w:rsid w:val="00776FDD"/>
    <w:rsid w:val="00786DF3"/>
    <w:rsid w:val="00792D6E"/>
    <w:rsid w:val="00796DB1"/>
    <w:rsid w:val="007D255A"/>
    <w:rsid w:val="007D40A0"/>
    <w:rsid w:val="007D72D3"/>
    <w:rsid w:val="007E2023"/>
    <w:rsid w:val="007F6665"/>
    <w:rsid w:val="007F774A"/>
    <w:rsid w:val="00830479"/>
    <w:rsid w:val="0083130E"/>
    <w:rsid w:val="008447B0"/>
    <w:rsid w:val="008708C6"/>
    <w:rsid w:val="00874671"/>
    <w:rsid w:val="008815A3"/>
    <w:rsid w:val="00891B6A"/>
    <w:rsid w:val="008A101B"/>
    <w:rsid w:val="008B26EA"/>
    <w:rsid w:val="008B6A65"/>
    <w:rsid w:val="008D3F6A"/>
    <w:rsid w:val="008F76DE"/>
    <w:rsid w:val="009053A4"/>
    <w:rsid w:val="00922ECE"/>
    <w:rsid w:val="00925BC6"/>
    <w:rsid w:val="009331F9"/>
    <w:rsid w:val="00954F06"/>
    <w:rsid w:val="00960375"/>
    <w:rsid w:val="00963400"/>
    <w:rsid w:val="00964BA2"/>
    <w:rsid w:val="00974FC5"/>
    <w:rsid w:val="00977912"/>
    <w:rsid w:val="00981BCB"/>
    <w:rsid w:val="009842D9"/>
    <w:rsid w:val="009862E9"/>
    <w:rsid w:val="00987888"/>
    <w:rsid w:val="00991E10"/>
    <w:rsid w:val="00996F66"/>
    <w:rsid w:val="009A1E0D"/>
    <w:rsid w:val="009A513F"/>
    <w:rsid w:val="009A7677"/>
    <w:rsid w:val="009C022B"/>
    <w:rsid w:val="009C3AFA"/>
    <w:rsid w:val="009C46CA"/>
    <w:rsid w:val="009C5C44"/>
    <w:rsid w:val="009D5247"/>
    <w:rsid w:val="009D614E"/>
    <w:rsid w:val="009E62BF"/>
    <w:rsid w:val="009F7E79"/>
    <w:rsid w:val="00A05453"/>
    <w:rsid w:val="00A1315F"/>
    <w:rsid w:val="00A31D4E"/>
    <w:rsid w:val="00A320A1"/>
    <w:rsid w:val="00A34A1C"/>
    <w:rsid w:val="00A432A9"/>
    <w:rsid w:val="00A433E7"/>
    <w:rsid w:val="00A440A6"/>
    <w:rsid w:val="00A569DB"/>
    <w:rsid w:val="00A63871"/>
    <w:rsid w:val="00A6467F"/>
    <w:rsid w:val="00A833B5"/>
    <w:rsid w:val="00A94E16"/>
    <w:rsid w:val="00AA2773"/>
    <w:rsid w:val="00AA4F0D"/>
    <w:rsid w:val="00AB590D"/>
    <w:rsid w:val="00AD21CF"/>
    <w:rsid w:val="00AD4436"/>
    <w:rsid w:val="00AE1F82"/>
    <w:rsid w:val="00AE7217"/>
    <w:rsid w:val="00AF0ACA"/>
    <w:rsid w:val="00B022B2"/>
    <w:rsid w:val="00B02649"/>
    <w:rsid w:val="00B04C47"/>
    <w:rsid w:val="00B04DB0"/>
    <w:rsid w:val="00B0689C"/>
    <w:rsid w:val="00B07871"/>
    <w:rsid w:val="00B11BEE"/>
    <w:rsid w:val="00B11D8E"/>
    <w:rsid w:val="00B1283D"/>
    <w:rsid w:val="00B1547E"/>
    <w:rsid w:val="00B21543"/>
    <w:rsid w:val="00B30ABA"/>
    <w:rsid w:val="00B34C8D"/>
    <w:rsid w:val="00B34D40"/>
    <w:rsid w:val="00B41AC6"/>
    <w:rsid w:val="00B65742"/>
    <w:rsid w:val="00B76518"/>
    <w:rsid w:val="00BB0B8E"/>
    <w:rsid w:val="00BB7649"/>
    <w:rsid w:val="00BC45B7"/>
    <w:rsid w:val="00BC724B"/>
    <w:rsid w:val="00BD02D9"/>
    <w:rsid w:val="00BD1581"/>
    <w:rsid w:val="00BD2211"/>
    <w:rsid w:val="00BE0572"/>
    <w:rsid w:val="00BF1E1F"/>
    <w:rsid w:val="00C02408"/>
    <w:rsid w:val="00C03636"/>
    <w:rsid w:val="00C0508B"/>
    <w:rsid w:val="00C23B21"/>
    <w:rsid w:val="00C40408"/>
    <w:rsid w:val="00C40853"/>
    <w:rsid w:val="00C423CD"/>
    <w:rsid w:val="00C525F1"/>
    <w:rsid w:val="00C56100"/>
    <w:rsid w:val="00C655CB"/>
    <w:rsid w:val="00C77739"/>
    <w:rsid w:val="00C93656"/>
    <w:rsid w:val="00C94ACE"/>
    <w:rsid w:val="00C97817"/>
    <w:rsid w:val="00CA0245"/>
    <w:rsid w:val="00CB352A"/>
    <w:rsid w:val="00CB4E6D"/>
    <w:rsid w:val="00CC5944"/>
    <w:rsid w:val="00CD32C3"/>
    <w:rsid w:val="00D00E5F"/>
    <w:rsid w:val="00D02277"/>
    <w:rsid w:val="00D022BC"/>
    <w:rsid w:val="00D14976"/>
    <w:rsid w:val="00D7688C"/>
    <w:rsid w:val="00D768C3"/>
    <w:rsid w:val="00D92A17"/>
    <w:rsid w:val="00D973EE"/>
    <w:rsid w:val="00DA2F59"/>
    <w:rsid w:val="00DA556C"/>
    <w:rsid w:val="00DA6D5E"/>
    <w:rsid w:val="00DB118F"/>
    <w:rsid w:val="00DB6A94"/>
    <w:rsid w:val="00DC0A36"/>
    <w:rsid w:val="00DD3BC6"/>
    <w:rsid w:val="00DE0886"/>
    <w:rsid w:val="00DE0DD9"/>
    <w:rsid w:val="00DE12DC"/>
    <w:rsid w:val="00DE6561"/>
    <w:rsid w:val="00DE710D"/>
    <w:rsid w:val="00DF012A"/>
    <w:rsid w:val="00E16457"/>
    <w:rsid w:val="00E2047E"/>
    <w:rsid w:val="00E20B20"/>
    <w:rsid w:val="00E24979"/>
    <w:rsid w:val="00E32C28"/>
    <w:rsid w:val="00E345DB"/>
    <w:rsid w:val="00E36CB9"/>
    <w:rsid w:val="00E411E4"/>
    <w:rsid w:val="00E44B08"/>
    <w:rsid w:val="00E477CA"/>
    <w:rsid w:val="00E5034D"/>
    <w:rsid w:val="00E53307"/>
    <w:rsid w:val="00E6422C"/>
    <w:rsid w:val="00E8295C"/>
    <w:rsid w:val="00E9228D"/>
    <w:rsid w:val="00E92880"/>
    <w:rsid w:val="00E93F48"/>
    <w:rsid w:val="00EA270A"/>
    <w:rsid w:val="00EA3055"/>
    <w:rsid w:val="00EC0895"/>
    <w:rsid w:val="00EC0B01"/>
    <w:rsid w:val="00EE18B5"/>
    <w:rsid w:val="00EE5BAD"/>
    <w:rsid w:val="00F16F66"/>
    <w:rsid w:val="00F241ED"/>
    <w:rsid w:val="00F25BC3"/>
    <w:rsid w:val="00F55923"/>
    <w:rsid w:val="00F62D07"/>
    <w:rsid w:val="00F64CEB"/>
    <w:rsid w:val="00F704B0"/>
    <w:rsid w:val="00F74034"/>
    <w:rsid w:val="00F75EEF"/>
    <w:rsid w:val="00F96661"/>
    <w:rsid w:val="00F967D5"/>
    <w:rsid w:val="00F9799A"/>
    <w:rsid w:val="00FA1212"/>
    <w:rsid w:val="00FA4E36"/>
    <w:rsid w:val="00FC5A25"/>
    <w:rsid w:val="00FE62D7"/>
    <w:rsid w:val="00FE6AD0"/>
    <w:rsid w:val="00FE6B7A"/>
    <w:rsid w:val="00FF5F87"/>
    <w:rsid w:val="17188259"/>
    <w:rsid w:val="5E4B57BD"/>
    <w:rsid w:val="5EBFA1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4E0057C3"/>
  <w15:chartTrackingRefBased/>
  <w15:docId w15:val="{C09018D3-23E5-4B17-97DC-4A4506534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6F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6FDD"/>
  </w:style>
  <w:style w:type="paragraph" w:styleId="Footer">
    <w:name w:val="footer"/>
    <w:basedOn w:val="Normal"/>
    <w:link w:val="FooterChar"/>
    <w:uiPriority w:val="99"/>
    <w:unhideWhenUsed/>
    <w:rsid w:val="00776F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6FDD"/>
  </w:style>
  <w:style w:type="paragraph" w:styleId="ListParagraph">
    <w:name w:val="List Paragraph"/>
    <w:basedOn w:val="Normal"/>
    <w:uiPriority w:val="34"/>
    <w:qFormat/>
    <w:rsid w:val="003043A3"/>
    <w:pPr>
      <w:ind w:left="720"/>
      <w:contextualSpacing/>
    </w:pPr>
  </w:style>
  <w:style w:type="table" w:styleId="TableGrid">
    <w:name w:val="Table Grid"/>
    <w:basedOn w:val="TableNormal"/>
    <w:uiPriority w:val="39"/>
    <w:rsid w:val="00121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9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976"/>
    <w:rPr>
      <w:rFonts w:ascii="Segoe UI" w:hAnsi="Segoe UI" w:cs="Segoe UI"/>
      <w:sz w:val="18"/>
      <w:szCs w:val="18"/>
    </w:rPr>
  </w:style>
  <w:style w:type="paragraph" w:styleId="FootnoteText">
    <w:name w:val="footnote text"/>
    <w:basedOn w:val="Normal"/>
    <w:link w:val="FootnoteTextChar"/>
    <w:uiPriority w:val="99"/>
    <w:semiHidden/>
    <w:unhideWhenUsed/>
    <w:rsid w:val="00486A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6A96"/>
    <w:rPr>
      <w:sz w:val="20"/>
      <w:szCs w:val="20"/>
    </w:rPr>
  </w:style>
  <w:style w:type="character" w:styleId="FootnoteReference">
    <w:name w:val="footnote reference"/>
    <w:basedOn w:val="DefaultParagraphFont"/>
    <w:uiPriority w:val="99"/>
    <w:semiHidden/>
    <w:unhideWhenUsed/>
    <w:rsid w:val="00486A96"/>
    <w:rPr>
      <w:vertAlign w:val="superscript"/>
    </w:rPr>
  </w:style>
  <w:style w:type="paragraph" w:styleId="NormalWeb">
    <w:name w:val="Normal (Web)"/>
    <w:basedOn w:val="Normal"/>
    <w:uiPriority w:val="99"/>
    <w:unhideWhenUsed/>
    <w:rsid w:val="00A1315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9842D9"/>
    <w:pPr>
      <w:spacing w:after="0" w:line="240" w:lineRule="auto"/>
    </w:pPr>
  </w:style>
  <w:style w:type="character" w:styleId="CommentReference">
    <w:name w:val="annotation reference"/>
    <w:basedOn w:val="DefaultParagraphFont"/>
    <w:uiPriority w:val="99"/>
    <w:semiHidden/>
    <w:unhideWhenUsed/>
    <w:rsid w:val="009842D9"/>
    <w:rPr>
      <w:sz w:val="16"/>
      <w:szCs w:val="16"/>
    </w:rPr>
  </w:style>
  <w:style w:type="paragraph" w:styleId="CommentText">
    <w:name w:val="annotation text"/>
    <w:basedOn w:val="Normal"/>
    <w:link w:val="CommentTextChar"/>
    <w:uiPriority w:val="99"/>
    <w:semiHidden/>
    <w:unhideWhenUsed/>
    <w:rsid w:val="009842D9"/>
    <w:pPr>
      <w:spacing w:line="240" w:lineRule="auto"/>
    </w:pPr>
    <w:rPr>
      <w:sz w:val="20"/>
      <w:szCs w:val="20"/>
    </w:rPr>
  </w:style>
  <w:style w:type="character" w:customStyle="1" w:styleId="CommentTextChar">
    <w:name w:val="Comment Text Char"/>
    <w:basedOn w:val="DefaultParagraphFont"/>
    <w:link w:val="CommentText"/>
    <w:uiPriority w:val="99"/>
    <w:semiHidden/>
    <w:rsid w:val="009842D9"/>
    <w:rPr>
      <w:sz w:val="20"/>
      <w:szCs w:val="20"/>
    </w:rPr>
  </w:style>
  <w:style w:type="paragraph" w:styleId="CommentSubject">
    <w:name w:val="annotation subject"/>
    <w:basedOn w:val="CommentText"/>
    <w:next w:val="CommentText"/>
    <w:link w:val="CommentSubjectChar"/>
    <w:uiPriority w:val="99"/>
    <w:semiHidden/>
    <w:unhideWhenUsed/>
    <w:rsid w:val="009842D9"/>
    <w:rPr>
      <w:b/>
      <w:bCs/>
    </w:rPr>
  </w:style>
  <w:style w:type="character" w:customStyle="1" w:styleId="CommentSubjectChar">
    <w:name w:val="Comment Subject Char"/>
    <w:basedOn w:val="CommentTextChar"/>
    <w:link w:val="CommentSubject"/>
    <w:uiPriority w:val="99"/>
    <w:semiHidden/>
    <w:rsid w:val="009842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323915">
      <w:bodyDiv w:val="1"/>
      <w:marLeft w:val="0"/>
      <w:marRight w:val="0"/>
      <w:marTop w:val="0"/>
      <w:marBottom w:val="0"/>
      <w:divBdr>
        <w:top w:val="none" w:sz="0" w:space="0" w:color="auto"/>
        <w:left w:val="none" w:sz="0" w:space="0" w:color="auto"/>
        <w:bottom w:val="none" w:sz="0" w:space="0" w:color="auto"/>
        <w:right w:val="none" w:sz="0" w:space="0" w:color="auto"/>
      </w:divBdr>
    </w:div>
    <w:div w:id="55011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052D0-D2FC-4EA4-BBB7-C8B57E8DE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6039</Words>
  <Characters>34425</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Beaumont</cp:lastModifiedBy>
  <cp:revision>3</cp:revision>
  <cp:lastPrinted>2018-11-22T09:44:00Z</cp:lastPrinted>
  <dcterms:created xsi:type="dcterms:W3CDTF">2019-01-02T08:24:00Z</dcterms:created>
  <dcterms:modified xsi:type="dcterms:W3CDTF">2019-01-02T08:41:00Z</dcterms:modified>
</cp:coreProperties>
</file>