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3F74D" w14:textId="1B238AB6" w:rsidR="005C7BFE" w:rsidRPr="00857646" w:rsidRDefault="00E91A93" w:rsidP="00E91A93">
      <w:pPr>
        <w:jc w:val="center"/>
        <w:rPr>
          <w:rFonts w:ascii="Verdana" w:hAnsi="Verdana"/>
          <w:sz w:val="56"/>
          <w:szCs w:val="56"/>
        </w:rPr>
      </w:pPr>
      <w:r w:rsidRPr="00857646">
        <w:rPr>
          <w:rFonts w:ascii="Verdana" w:hAnsi="Verdana"/>
          <w:sz w:val="56"/>
          <w:szCs w:val="56"/>
        </w:rPr>
        <w:t>Data Analytics Glossary</w:t>
      </w:r>
    </w:p>
    <w:tbl>
      <w:tblPr>
        <w:tblStyle w:val="TableGrid"/>
        <w:tblW w:w="9016" w:type="dxa"/>
        <w:tblLook w:val="04A0" w:firstRow="1" w:lastRow="0" w:firstColumn="1" w:lastColumn="0" w:noHBand="0" w:noVBand="1"/>
      </w:tblPr>
      <w:tblGrid>
        <w:gridCol w:w="2448"/>
        <w:gridCol w:w="6568"/>
      </w:tblGrid>
      <w:tr w:rsidR="0020202B" w:rsidRPr="00857646" w14:paraId="47BF1156" w14:textId="77777777" w:rsidTr="00526AA5">
        <w:tc>
          <w:tcPr>
            <w:tcW w:w="9016" w:type="dxa"/>
            <w:gridSpan w:val="2"/>
          </w:tcPr>
          <w:p w14:paraId="7ADE931F" w14:textId="17058151" w:rsidR="0020202B" w:rsidRPr="00857646" w:rsidRDefault="0020202B" w:rsidP="0020202B">
            <w:pPr>
              <w:jc w:val="center"/>
              <w:rPr>
                <w:rFonts w:ascii="Verdana" w:hAnsi="Verdana"/>
                <w:sz w:val="32"/>
                <w:szCs w:val="32"/>
              </w:rPr>
            </w:pPr>
            <w:r w:rsidRPr="00857646">
              <w:rPr>
                <w:rFonts w:ascii="Verdana" w:hAnsi="Verdana"/>
                <w:sz w:val="32"/>
                <w:szCs w:val="32"/>
              </w:rPr>
              <w:t>General Data Terms</w:t>
            </w:r>
          </w:p>
        </w:tc>
      </w:tr>
      <w:tr w:rsidR="00890C0C" w:rsidRPr="00857646" w14:paraId="59CA7CC3" w14:textId="77777777" w:rsidTr="00526AA5">
        <w:tc>
          <w:tcPr>
            <w:tcW w:w="2336" w:type="dxa"/>
          </w:tcPr>
          <w:p w14:paraId="1853FFCF" w14:textId="65BACE01" w:rsidR="0020202B" w:rsidRPr="00857646" w:rsidRDefault="0020202B" w:rsidP="00E91A93">
            <w:pPr>
              <w:rPr>
                <w:rFonts w:ascii="Verdana" w:hAnsi="Verdana"/>
                <w:color w:val="0070C0"/>
                <w:sz w:val="24"/>
                <w:szCs w:val="24"/>
              </w:rPr>
            </w:pPr>
            <w:r w:rsidRPr="00857646">
              <w:rPr>
                <w:rFonts w:ascii="Verdana" w:hAnsi="Verdana"/>
                <w:sz w:val="32"/>
                <w:szCs w:val="32"/>
              </w:rPr>
              <w:t>Word</w:t>
            </w:r>
            <w:r w:rsidRPr="00857646">
              <w:rPr>
                <w:rFonts w:ascii="Verdana" w:hAnsi="Verdana"/>
                <w:sz w:val="32"/>
                <w:szCs w:val="32"/>
              </w:rPr>
              <w:tab/>
            </w:r>
          </w:p>
        </w:tc>
        <w:tc>
          <w:tcPr>
            <w:tcW w:w="6680" w:type="dxa"/>
          </w:tcPr>
          <w:p w14:paraId="698977EC" w14:textId="5457EC0C" w:rsidR="0020202B" w:rsidRPr="00857646" w:rsidRDefault="0020202B" w:rsidP="00E91A93">
            <w:pPr>
              <w:rPr>
                <w:rFonts w:ascii="Verdana" w:hAnsi="Verdana"/>
                <w:sz w:val="24"/>
                <w:szCs w:val="24"/>
              </w:rPr>
            </w:pPr>
            <w:r w:rsidRPr="00857646">
              <w:rPr>
                <w:rFonts w:ascii="Verdana" w:hAnsi="Verdana"/>
                <w:sz w:val="32"/>
                <w:szCs w:val="32"/>
              </w:rPr>
              <w:t>Meaning</w:t>
            </w:r>
          </w:p>
        </w:tc>
      </w:tr>
      <w:tr w:rsidR="00445BD7" w:rsidRPr="00857646" w14:paraId="0D99C81E" w14:textId="77777777" w:rsidTr="00526AA5">
        <w:tc>
          <w:tcPr>
            <w:tcW w:w="2336" w:type="dxa"/>
          </w:tcPr>
          <w:p w14:paraId="51F7D209"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Aggregation</w:t>
            </w:r>
          </w:p>
        </w:tc>
        <w:tc>
          <w:tcPr>
            <w:tcW w:w="6680" w:type="dxa"/>
          </w:tcPr>
          <w:p w14:paraId="2B419264" w14:textId="77777777" w:rsidR="00445BD7" w:rsidRPr="00857646" w:rsidRDefault="00445BD7" w:rsidP="00E91A93">
            <w:pPr>
              <w:rPr>
                <w:rFonts w:ascii="Verdana" w:hAnsi="Verdana"/>
                <w:sz w:val="24"/>
                <w:szCs w:val="24"/>
              </w:rPr>
            </w:pPr>
            <w:r w:rsidRPr="00857646">
              <w:rPr>
                <w:rFonts w:ascii="Verdana" w:hAnsi="Verdana"/>
                <w:sz w:val="24"/>
                <w:szCs w:val="24"/>
              </w:rPr>
              <w:t xml:space="preserve">The process of combining individual data to summarise, group or categorise. </w:t>
            </w:r>
          </w:p>
        </w:tc>
      </w:tr>
      <w:tr w:rsidR="00445BD7" w:rsidRPr="00857646" w14:paraId="7610A359" w14:textId="77777777" w:rsidTr="00526AA5">
        <w:tc>
          <w:tcPr>
            <w:tcW w:w="2336" w:type="dxa"/>
          </w:tcPr>
          <w:p w14:paraId="5F9EECCE"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Analysis</w:t>
            </w:r>
          </w:p>
        </w:tc>
        <w:tc>
          <w:tcPr>
            <w:tcW w:w="6680" w:type="dxa"/>
          </w:tcPr>
          <w:p w14:paraId="6EEF86BB" w14:textId="77777777" w:rsidR="00445BD7" w:rsidRPr="00857646" w:rsidRDefault="00445BD7" w:rsidP="00E91A93">
            <w:pPr>
              <w:rPr>
                <w:rFonts w:ascii="Verdana" w:hAnsi="Verdana"/>
                <w:sz w:val="24"/>
                <w:szCs w:val="24"/>
              </w:rPr>
            </w:pPr>
            <w:r w:rsidRPr="00857646">
              <w:rPr>
                <w:rFonts w:ascii="Verdana" w:hAnsi="Verdana"/>
                <w:sz w:val="24"/>
                <w:szCs w:val="24"/>
              </w:rPr>
              <w:t xml:space="preserve">The process of examining data to spot patterns, trends or insights. </w:t>
            </w:r>
          </w:p>
        </w:tc>
      </w:tr>
      <w:tr w:rsidR="00445BD7" w:rsidRPr="00857646" w14:paraId="599834B3" w14:textId="77777777" w:rsidTr="00526AA5">
        <w:tc>
          <w:tcPr>
            <w:tcW w:w="2336" w:type="dxa"/>
          </w:tcPr>
          <w:p w14:paraId="7757916D"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Anonymisation</w:t>
            </w:r>
          </w:p>
        </w:tc>
        <w:tc>
          <w:tcPr>
            <w:tcW w:w="6680" w:type="dxa"/>
          </w:tcPr>
          <w:p w14:paraId="75730BCA" w14:textId="77777777" w:rsidR="00445BD7" w:rsidRPr="00857646" w:rsidRDefault="00445BD7" w:rsidP="00E91A93">
            <w:pPr>
              <w:rPr>
                <w:rFonts w:ascii="Verdana" w:hAnsi="Verdana"/>
                <w:sz w:val="24"/>
                <w:szCs w:val="24"/>
              </w:rPr>
            </w:pPr>
            <w:r w:rsidRPr="00857646">
              <w:rPr>
                <w:rFonts w:ascii="Verdana" w:hAnsi="Verdana"/>
                <w:sz w:val="24"/>
                <w:szCs w:val="24"/>
              </w:rPr>
              <w:t>The process of removing or encrypting personal identifiable information from data to protect privacy.</w:t>
            </w:r>
          </w:p>
        </w:tc>
      </w:tr>
      <w:tr w:rsidR="00445BD7" w:rsidRPr="00857646" w14:paraId="4E71C16F" w14:textId="77777777" w:rsidTr="00526AA5">
        <w:tc>
          <w:tcPr>
            <w:tcW w:w="2336" w:type="dxa"/>
            <w:hideMark/>
          </w:tcPr>
          <w:p w14:paraId="3F2A9BA8" w14:textId="77777777" w:rsidR="00445BD7" w:rsidRPr="00857646" w:rsidRDefault="00445BD7" w:rsidP="00526AA5">
            <w:pPr>
              <w:rPr>
                <w:rFonts w:ascii="Verdana" w:hAnsi="Verdana"/>
              </w:rPr>
            </w:pPr>
            <w:r w:rsidRPr="00857646">
              <w:rPr>
                <w:rFonts w:ascii="Verdana" w:hAnsi="Verdana"/>
                <w:color w:val="0070C0"/>
                <w:sz w:val="24"/>
                <w:szCs w:val="24"/>
              </w:rPr>
              <w:t>Archive</w:t>
            </w:r>
          </w:p>
        </w:tc>
        <w:tc>
          <w:tcPr>
            <w:tcW w:w="6680" w:type="dxa"/>
            <w:hideMark/>
          </w:tcPr>
          <w:p w14:paraId="60A253B2" w14:textId="77777777" w:rsidR="00445BD7" w:rsidRPr="00857646" w:rsidRDefault="00445BD7" w:rsidP="00526AA5">
            <w:pPr>
              <w:rPr>
                <w:rFonts w:ascii="Verdana" w:hAnsi="Verdana"/>
                <w:sz w:val="24"/>
                <w:szCs w:val="24"/>
              </w:rPr>
            </w:pPr>
            <w:r w:rsidRPr="00857646">
              <w:rPr>
                <w:rFonts w:ascii="Verdana" w:hAnsi="Verdana"/>
                <w:sz w:val="24"/>
                <w:szCs w:val="24"/>
              </w:rPr>
              <w:t>An archive is a physical or virtual repository which holds information which no longer has a primary business value but is maintained for a further period for research or historical value.</w:t>
            </w:r>
          </w:p>
        </w:tc>
      </w:tr>
      <w:tr w:rsidR="00445BD7" w:rsidRPr="00857646" w14:paraId="2890BD22" w14:textId="77777777" w:rsidTr="00526AA5">
        <w:tc>
          <w:tcPr>
            <w:tcW w:w="2336" w:type="dxa"/>
          </w:tcPr>
          <w:p w14:paraId="7D169D22"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Big Data</w:t>
            </w:r>
          </w:p>
        </w:tc>
        <w:tc>
          <w:tcPr>
            <w:tcW w:w="6680" w:type="dxa"/>
          </w:tcPr>
          <w:p w14:paraId="67970B13" w14:textId="77777777" w:rsidR="00445BD7" w:rsidRPr="00857646" w:rsidRDefault="00445BD7" w:rsidP="00E91A93">
            <w:pPr>
              <w:rPr>
                <w:rFonts w:ascii="Verdana" w:hAnsi="Verdana"/>
                <w:sz w:val="24"/>
                <w:szCs w:val="24"/>
              </w:rPr>
            </w:pPr>
            <w:r w:rsidRPr="00857646">
              <w:rPr>
                <w:rFonts w:ascii="Verdana" w:hAnsi="Verdana"/>
                <w:sz w:val="24"/>
                <w:szCs w:val="24"/>
              </w:rPr>
              <w:t xml:space="preserve">Large and complex datasets that require advanced processing techniques. </w:t>
            </w:r>
          </w:p>
        </w:tc>
      </w:tr>
      <w:tr w:rsidR="00445BD7" w:rsidRPr="00857646" w14:paraId="08C6C323" w14:textId="77777777" w:rsidTr="00526AA5">
        <w:tc>
          <w:tcPr>
            <w:tcW w:w="2336" w:type="dxa"/>
            <w:hideMark/>
          </w:tcPr>
          <w:p w14:paraId="53B48409" w14:textId="77777777" w:rsidR="00445BD7" w:rsidRPr="00857646" w:rsidRDefault="00445BD7" w:rsidP="00526AA5">
            <w:pPr>
              <w:rPr>
                <w:rFonts w:ascii="Verdana" w:hAnsi="Verdana"/>
              </w:rPr>
            </w:pPr>
            <w:r w:rsidRPr="00857646">
              <w:rPr>
                <w:rFonts w:ascii="Verdana" w:hAnsi="Verdana"/>
                <w:color w:val="0070C0"/>
                <w:sz w:val="24"/>
                <w:szCs w:val="24"/>
              </w:rPr>
              <w:t>Caldicott Guardian</w:t>
            </w:r>
          </w:p>
        </w:tc>
        <w:tc>
          <w:tcPr>
            <w:tcW w:w="6680" w:type="dxa"/>
            <w:hideMark/>
          </w:tcPr>
          <w:p w14:paraId="4F3A406F" w14:textId="77777777" w:rsidR="00445BD7" w:rsidRPr="00857646" w:rsidRDefault="00445BD7" w:rsidP="00526AA5">
            <w:pPr>
              <w:rPr>
                <w:rFonts w:ascii="Verdana" w:hAnsi="Verdana"/>
                <w:sz w:val="24"/>
                <w:szCs w:val="24"/>
              </w:rPr>
            </w:pPr>
            <w:r w:rsidRPr="00857646">
              <w:rPr>
                <w:rFonts w:ascii="Verdana" w:hAnsi="Verdana"/>
                <w:sz w:val="24"/>
                <w:szCs w:val="24"/>
              </w:rPr>
              <w:t xml:space="preserve">This is the person appointed to ensure that patient personal health information is adequately safe-guarded (in accordance with the NHS Caldicott Principles). </w:t>
            </w:r>
          </w:p>
        </w:tc>
      </w:tr>
      <w:tr w:rsidR="00445BD7" w:rsidRPr="00857646" w14:paraId="0666DB48" w14:textId="77777777" w:rsidTr="00526AA5">
        <w:tc>
          <w:tcPr>
            <w:tcW w:w="2336" w:type="dxa"/>
            <w:hideMark/>
          </w:tcPr>
          <w:p w14:paraId="4C38BCE7" w14:textId="77777777" w:rsidR="00445BD7" w:rsidRPr="00857646" w:rsidRDefault="00445BD7" w:rsidP="00526AA5">
            <w:pPr>
              <w:rPr>
                <w:rFonts w:ascii="Verdana" w:hAnsi="Verdana"/>
              </w:rPr>
            </w:pPr>
            <w:r w:rsidRPr="00857646">
              <w:rPr>
                <w:rFonts w:ascii="Verdana" w:hAnsi="Verdana"/>
                <w:color w:val="0070C0"/>
                <w:sz w:val="24"/>
                <w:szCs w:val="24"/>
              </w:rPr>
              <w:t xml:space="preserve">Cloud </w:t>
            </w:r>
          </w:p>
        </w:tc>
        <w:tc>
          <w:tcPr>
            <w:tcW w:w="6680" w:type="dxa"/>
            <w:hideMark/>
          </w:tcPr>
          <w:p w14:paraId="37B3C3AF" w14:textId="77777777" w:rsidR="00445BD7" w:rsidRPr="00857646" w:rsidRDefault="00445BD7" w:rsidP="00526AA5">
            <w:pPr>
              <w:rPr>
                <w:rFonts w:ascii="Verdana" w:hAnsi="Verdana"/>
                <w:sz w:val="24"/>
                <w:szCs w:val="24"/>
              </w:rPr>
            </w:pPr>
            <w:r w:rsidRPr="00857646">
              <w:rPr>
                <w:rFonts w:ascii="Verdana" w:hAnsi="Verdana"/>
                <w:sz w:val="24"/>
                <w:szCs w:val="24"/>
              </w:rPr>
              <w:t>This describes where data is held, and data services (such as storing, processing and software) can be conducted off-premises (usually by a ‘cloud provider’ that may be in any part of the world). This occurs when the cloud provider is deemed to have the technology and capacity to do this more effectively than ‘in-house’ for a particular purpose.</w:t>
            </w:r>
          </w:p>
        </w:tc>
      </w:tr>
      <w:tr w:rsidR="00445BD7" w:rsidRPr="00857646" w14:paraId="707956B6" w14:textId="77777777" w:rsidTr="00526AA5">
        <w:tc>
          <w:tcPr>
            <w:tcW w:w="2336" w:type="dxa"/>
          </w:tcPr>
          <w:p w14:paraId="32F7104E"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Correlation</w:t>
            </w:r>
          </w:p>
        </w:tc>
        <w:tc>
          <w:tcPr>
            <w:tcW w:w="6680" w:type="dxa"/>
          </w:tcPr>
          <w:p w14:paraId="4B394E30" w14:textId="77777777" w:rsidR="00445BD7" w:rsidRPr="00857646" w:rsidRDefault="00445BD7" w:rsidP="00E91A93">
            <w:pPr>
              <w:rPr>
                <w:rFonts w:ascii="Verdana" w:hAnsi="Verdana"/>
                <w:sz w:val="24"/>
                <w:szCs w:val="24"/>
              </w:rPr>
            </w:pPr>
            <w:r w:rsidRPr="00857646">
              <w:rPr>
                <w:rFonts w:ascii="Verdana" w:hAnsi="Verdana"/>
                <w:sz w:val="24"/>
                <w:szCs w:val="24"/>
              </w:rPr>
              <w:t>A relationship or connection between two or more values.</w:t>
            </w:r>
          </w:p>
        </w:tc>
      </w:tr>
      <w:tr w:rsidR="00445BD7" w:rsidRPr="00857646" w14:paraId="0D0B4D59" w14:textId="77777777" w:rsidTr="00526AA5">
        <w:tc>
          <w:tcPr>
            <w:tcW w:w="2336" w:type="dxa"/>
          </w:tcPr>
          <w:p w14:paraId="7A0064B2"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Dashboard</w:t>
            </w:r>
          </w:p>
        </w:tc>
        <w:tc>
          <w:tcPr>
            <w:tcW w:w="6680" w:type="dxa"/>
          </w:tcPr>
          <w:p w14:paraId="7C24061C" w14:textId="77777777" w:rsidR="00445BD7" w:rsidRPr="00857646" w:rsidRDefault="00445BD7" w:rsidP="00E91A93">
            <w:pPr>
              <w:rPr>
                <w:rFonts w:ascii="Verdana" w:hAnsi="Verdana"/>
                <w:sz w:val="24"/>
                <w:szCs w:val="24"/>
              </w:rPr>
            </w:pPr>
            <w:r w:rsidRPr="00857646">
              <w:rPr>
                <w:rFonts w:ascii="Verdana" w:hAnsi="Verdana"/>
                <w:sz w:val="24"/>
                <w:szCs w:val="24"/>
              </w:rPr>
              <w:t>The display of multiple visuals made to represent data.</w:t>
            </w:r>
          </w:p>
        </w:tc>
      </w:tr>
      <w:tr w:rsidR="00445BD7" w:rsidRPr="00857646" w14:paraId="125FF3DE" w14:textId="77777777" w:rsidTr="00526AA5">
        <w:tc>
          <w:tcPr>
            <w:tcW w:w="2336" w:type="dxa"/>
          </w:tcPr>
          <w:p w14:paraId="05A2F579"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Data</w:t>
            </w:r>
          </w:p>
        </w:tc>
        <w:tc>
          <w:tcPr>
            <w:tcW w:w="6680" w:type="dxa"/>
          </w:tcPr>
          <w:p w14:paraId="57AFE7E4" w14:textId="77777777" w:rsidR="00445BD7" w:rsidRPr="00857646" w:rsidRDefault="00445BD7" w:rsidP="00E91A93">
            <w:pPr>
              <w:rPr>
                <w:rFonts w:ascii="Verdana" w:hAnsi="Verdana"/>
                <w:sz w:val="24"/>
                <w:szCs w:val="24"/>
              </w:rPr>
            </w:pPr>
            <w:r w:rsidRPr="00857646">
              <w:rPr>
                <w:rFonts w:ascii="Verdana" w:hAnsi="Verdana"/>
                <w:sz w:val="24"/>
                <w:szCs w:val="24"/>
              </w:rPr>
              <w:t>Information, facts or statistics collected together for reference or analysis.</w:t>
            </w:r>
          </w:p>
        </w:tc>
      </w:tr>
      <w:tr w:rsidR="00445BD7" w:rsidRPr="00857646" w14:paraId="6BED0D4B" w14:textId="77777777" w:rsidTr="00526AA5">
        <w:tc>
          <w:tcPr>
            <w:tcW w:w="2336" w:type="dxa"/>
            <w:hideMark/>
          </w:tcPr>
          <w:p w14:paraId="061B3D8E" w14:textId="6731A11C" w:rsidR="00445BD7" w:rsidRPr="00857646" w:rsidRDefault="00445BD7" w:rsidP="00526AA5">
            <w:pPr>
              <w:rPr>
                <w:rFonts w:ascii="Verdana" w:hAnsi="Verdana"/>
              </w:rPr>
            </w:pPr>
            <w:r w:rsidRPr="00857646">
              <w:rPr>
                <w:rFonts w:ascii="Verdana" w:hAnsi="Verdana"/>
                <w:color w:val="0070C0"/>
                <w:sz w:val="24"/>
                <w:szCs w:val="24"/>
              </w:rPr>
              <w:t xml:space="preserve">Data </w:t>
            </w:r>
            <w:r w:rsidR="00095E69" w:rsidRPr="00857646">
              <w:rPr>
                <w:rFonts w:ascii="Verdana" w:hAnsi="Verdana"/>
                <w:color w:val="0070C0"/>
                <w:sz w:val="24"/>
                <w:szCs w:val="24"/>
              </w:rPr>
              <w:t>B</w:t>
            </w:r>
            <w:r w:rsidRPr="00857646">
              <w:rPr>
                <w:rFonts w:ascii="Verdana" w:hAnsi="Verdana"/>
                <w:color w:val="0070C0"/>
                <w:sz w:val="24"/>
                <w:szCs w:val="24"/>
              </w:rPr>
              <w:t>reach</w:t>
            </w:r>
          </w:p>
        </w:tc>
        <w:tc>
          <w:tcPr>
            <w:tcW w:w="6680" w:type="dxa"/>
            <w:hideMark/>
          </w:tcPr>
          <w:p w14:paraId="5E152303" w14:textId="77777777" w:rsidR="00445BD7" w:rsidRPr="00857646" w:rsidRDefault="00445BD7" w:rsidP="00526AA5">
            <w:pPr>
              <w:rPr>
                <w:rFonts w:ascii="Verdana" w:hAnsi="Verdana"/>
                <w:sz w:val="24"/>
                <w:szCs w:val="24"/>
              </w:rPr>
            </w:pPr>
            <w:r w:rsidRPr="00857646">
              <w:rPr>
                <w:rFonts w:ascii="Verdana" w:hAnsi="Verdana"/>
                <w:sz w:val="24"/>
                <w:szCs w:val="24"/>
              </w:rPr>
              <w:t>This is when something has occurred which may contravene data protection or other law. This could for example be when data is lost, shared inappropriately or where any of the data protection principles have been breached (e.g. lack of transparency).</w:t>
            </w:r>
          </w:p>
        </w:tc>
      </w:tr>
      <w:tr w:rsidR="00445BD7" w:rsidRPr="00857646" w14:paraId="1E504878" w14:textId="77777777" w:rsidTr="00526AA5">
        <w:tc>
          <w:tcPr>
            <w:tcW w:w="2336" w:type="dxa"/>
            <w:hideMark/>
          </w:tcPr>
          <w:p w14:paraId="0023E2F9" w14:textId="77777777" w:rsidR="00445BD7" w:rsidRPr="00857646" w:rsidRDefault="00445BD7" w:rsidP="00526AA5">
            <w:pPr>
              <w:rPr>
                <w:rFonts w:ascii="Verdana" w:hAnsi="Verdana"/>
              </w:rPr>
            </w:pPr>
            <w:r w:rsidRPr="00857646">
              <w:rPr>
                <w:rFonts w:ascii="Verdana" w:hAnsi="Verdana"/>
                <w:color w:val="0070C0"/>
                <w:sz w:val="24"/>
                <w:szCs w:val="24"/>
              </w:rPr>
              <w:t>Data Ethics</w:t>
            </w:r>
          </w:p>
        </w:tc>
        <w:tc>
          <w:tcPr>
            <w:tcW w:w="6680" w:type="dxa"/>
            <w:hideMark/>
          </w:tcPr>
          <w:p w14:paraId="7BC70D25" w14:textId="77777777" w:rsidR="00445BD7" w:rsidRPr="00857646" w:rsidRDefault="00445BD7" w:rsidP="00526AA5">
            <w:pPr>
              <w:rPr>
                <w:rFonts w:ascii="Verdana" w:hAnsi="Verdana"/>
                <w:sz w:val="24"/>
                <w:szCs w:val="24"/>
              </w:rPr>
            </w:pPr>
            <w:r w:rsidRPr="00857646">
              <w:rPr>
                <w:rFonts w:ascii="Verdana" w:hAnsi="Verdana"/>
                <w:sz w:val="24"/>
                <w:szCs w:val="24"/>
              </w:rPr>
              <w:t>Over and above the legal frameworks which exist such as Data Protection, there are still questions around whether it is right and proper for certain data processing to occur. See the SCC Ethical Data Stewardship Charter for more detail.</w:t>
            </w:r>
          </w:p>
        </w:tc>
      </w:tr>
      <w:tr w:rsidR="00445BD7" w:rsidRPr="00857646" w14:paraId="5061E02C" w14:textId="77777777" w:rsidTr="00526AA5">
        <w:tc>
          <w:tcPr>
            <w:tcW w:w="2336" w:type="dxa"/>
            <w:hideMark/>
          </w:tcPr>
          <w:p w14:paraId="08F8E768" w14:textId="46B4A662" w:rsidR="00445BD7" w:rsidRPr="00857646" w:rsidRDefault="00445BD7" w:rsidP="00526AA5">
            <w:pPr>
              <w:rPr>
                <w:rFonts w:ascii="Verdana" w:hAnsi="Verdana"/>
              </w:rPr>
            </w:pPr>
            <w:r w:rsidRPr="00857646">
              <w:rPr>
                <w:rFonts w:ascii="Verdana" w:hAnsi="Verdana"/>
                <w:color w:val="0070C0"/>
                <w:sz w:val="24"/>
                <w:szCs w:val="24"/>
              </w:rPr>
              <w:lastRenderedPageBreak/>
              <w:t xml:space="preserve">Data </w:t>
            </w:r>
            <w:r w:rsidR="00095E69" w:rsidRPr="00857646">
              <w:rPr>
                <w:rFonts w:ascii="Verdana" w:hAnsi="Verdana"/>
                <w:color w:val="0070C0"/>
                <w:sz w:val="24"/>
                <w:szCs w:val="24"/>
              </w:rPr>
              <w:t>M</w:t>
            </w:r>
            <w:r w:rsidRPr="00857646">
              <w:rPr>
                <w:rFonts w:ascii="Verdana" w:hAnsi="Verdana"/>
                <w:color w:val="0070C0"/>
                <w:sz w:val="24"/>
                <w:szCs w:val="24"/>
              </w:rPr>
              <w:t>ashing</w:t>
            </w:r>
          </w:p>
        </w:tc>
        <w:tc>
          <w:tcPr>
            <w:tcW w:w="6680" w:type="dxa"/>
            <w:hideMark/>
          </w:tcPr>
          <w:p w14:paraId="4FD24304" w14:textId="65243912" w:rsidR="00BD18F2" w:rsidRPr="00857646" w:rsidRDefault="00BD18F2" w:rsidP="00526AA5">
            <w:pPr>
              <w:rPr>
                <w:rFonts w:ascii="Verdana" w:hAnsi="Verdana"/>
                <w:sz w:val="24"/>
                <w:szCs w:val="24"/>
              </w:rPr>
            </w:pPr>
            <w:r w:rsidRPr="00857646">
              <w:rPr>
                <w:rFonts w:ascii="Verdana" w:hAnsi="Verdana"/>
                <w:sz w:val="24"/>
                <w:szCs w:val="24"/>
              </w:rPr>
              <w:t>Data Mashing is the process of integrating and transforming data from multiple sources to derive insight and inform decision making. Providing a unified “big picture” view of data, it provides analysts with the ability to utilise collective datasets to gain a more comprehensive understanding of the underlying information.</w:t>
            </w:r>
          </w:p>
        </w:tc>
      </w:tr>
      <w:tr w:rsidR="00445BD7" w:rsidRPr="00857646" w14:paraId="50FD4246" w14:textId="77777777" w:rsidTr="00526AA5">
        <w:tc>
          <w:tcPr>
            <w:tcW w:w="2336" w:type="dxa"/>
            <w:hideMark/>
          </w:tcPr>
          <w:p w14:paraId="55E1CB27" w14:textId="46FB5A2C" w:rsidR="00445BD7" w:rsidRPr="00857646" w:rsidRDefault="00445BD7" w:rsidP="00526AA5">
            <w:pPr>
              <w:rPr>
                <w:rFonts w:ascii="Verdana" w:hAnsi="Verdana"/>
              </w:rPr>
            </w:pPr>
            <w:r w:rsidRPr="00857646">
              <w:rPr>
                <w:rFonts w:ascii="Verdana" w:hAnsi="Verdana"/>
                <w:color w:val="0070C0"/>
                <w:sz w:val="24"/>
                <w:szCs w:val="24"/>
              </w:rPr>
              <w:t xml:space="preserve">Data </w:t>
            </w:r>
            <w:r w:rsidR="00095E69" w:rsidRPr="00857646">
              <w:rPr>
                <w:rFonts w:ascii="Verdana" w:hAnsi="Verdana"/>
                <w:color w:val="0070C0"/>
                <w:sz w:val="24"/>
                <w:szCs w:val="24"/>
              </w:rPr>
              <w:t>M</w:t>
            </w:r>
            <w:r w:rsidRPr="00857646">
              <w:rPr>
                <w:rFonts w:ascii="Verdana" w:hAnsi="Verdana"/>
                <w:color w:val="0070C0"/>
                <w:sz w:val="24"/>
                <w:szCs w:val="24"/>
              </w:rPr>
              <w:t>atching (for identification)</w:t>
            </w:r>
          </w:p>
        </w:tc>
        <w:tc>
          <w:tcPr>
            <w:tcW w:w="6680" w:type="dxa"/>
            <w:hideMark/>
          </w:tcPr>
          <w:p w14:paraId="523B88D5" w14:textId="77777777" w:rsidR="00445BD7" w:rsidRPr="00857646" w:rsidRDefault="00445BD7" w:rsidP="00526AA5">
            <w:pPr>
              <w:rPr>
                <w:rFonts w:ascii="Verdana" w:hAnsi="Verdana"/>
                <w:sz w:val="24"/>
                <w:szCs w:val="24"/>
              </w:rPr>
            </w:pPr>
            <w:r w:rsidRPr="00857646">
              <w:rPr>
                <w:rFonts w:ascii="Verdana" w:hAnsi="Verdana"/>
                <w:sz w:val="24"/>
                <w:szCs w:val="24"/>
              </w:rPr>
              <w:t>This is where data from one dataset is read alongside data from other datasets in order to identify a person with an agreed level of accuracy.</w:t>
            </w:r>
          </w:p>
        </w:tc>
      </w:tr>
      <w:tr w:rsidR="00445BD7" w:rsidRPr="00857646" w14:paraId="3A5EE6AC" w14:textId="77777777" w:rsidTr="00526AA5">
        <w:tc>
          <w:tcPr>
            <w:tcW w:w="2336" w:type="dxa"/>
          </w:tcPr>
          <w:p w14:paraId="1EE44AAD" w14:textId="77777777" w:rsidR="00445BD7" w:rsidRPr="00857646" w:rsidRDefault="00445BD7" w:rsidP="00E91A93">
            <w:pPr>
              <w:rPr>
                <w:rFonts w:ascii="Verdana" w:hAnsi="Verdana"/>
                <w:sz w:val="24"/>
                <w:szCs w:val="24"/>
              </w:rPr>
            </w:pPr>
            <w:r w:rsidRPr="00857646">
              <w:rPr>
                <w:rFonts w:ascii="Verdana" w:hAnsi="Verdana"/>
                <w:color w:val="0070C0"/>
                <w:sz w:val="24"/>
                <w:szCs w:val="24"/>
              </w:rPr>
              <w:t>Data Measure</w:t>
            </w:r>
          </w:p>
        </w:tc>
        <w:tc>
          <w:tcPr>
            <w:tcW w:w="6680" w:type="dxa"/>
          </w:tcPr>
          <w:p w14:paraId="3711A11F" w14:textId="77777777" w:rsidR="00445BD7" w:rsidRPr="00857646" w:rsidRDefault="00445BD7" w:rsidP="00E91A93">
            <w:pPr>
              <w:rPr>
                <w:rFonts w:ascii="Verdana" w:hAnsi="Verdana"/>
                <w:sz w:val="24"/>
                <w:szCs w:val="24"/>
              </w:rPr>
            </w:pPr>
            <w:r w:rsidRPr="00857646">
              <w:rPr>
                <w:rFonts w:ascii="Verdana" w:hAnsi="Verdana"/>
                <w:sz w:val="24"/>
                <w:szCs w:val="24"/>
              </w:rPr>
              <w:t>Applying a measure to data involves using a mathematical equation to analyse, summarise or transform data to answer specific questions or gain new insight.</w:t>
            </w:r>
          </w:p>
        </w:tc>
      </w:tr>
      <w:tr w:rsidR="00445BD7" w:rsidRPr="00857646" w14:paraId="0128DE1F" w14:textId="77777777" w:rsidTr="00526AA5">
        <w:tc>
          <w:tcPr>
            <w:tcW w:w="2336" w:type="dxa"/>
          </w:tcPr>
          <w:p w14:paraId="65C4281A"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Data Model</w:t>
            </w:r>
          </w:p>
        </w:tc>
        <w:tc>
          <w:tcPr>
            <w:tcW w:w="6680" w:type="dxa"/>
          </w:tcPr>
          <w:p w14:paraId="3143628F" w14:textId="77777777" w:rsidR="00445BD7" w:rsidRPr="00857646" w:rsidRDefault="00445BD7" w:rsidP="00E91A93">
            <w:pPr>
              <w:rPr>
                <w:rFonts w:ascii="Verdana" w:hAnsi="Verdana"/>
                <w:sz w:val="24"/>
                <w:szCs w:val="24"/>
              </w:rPr>
            </w:pPr>
            <w:r w:rsidRPr="00857646">
              <w:rPr>
                <w:rFonts w:ascii="Verdana" w:hAnsi="Verdana"/>
                <w:sz w:val="24"/>
                <w:szCs w:val="24"/>
              </w:rPr>
              <w:t>An organisation of various datasets which standardises how they relate to each other.</w:t>
            </w:r>
          </w:p>
        </w:tc>
      </w:tr>
      <w:tr w:rsidR="00445BD7" w:rsidRPr="00857646" w14:paraId="3C42261D" w14:textId="77777777" w:rsidTr="00526AA5">
        <w:tc>
          <w:tcPr>
            <w:tcW w:w="2336" w:type="dxa"/>
            <w:hideMark/>
          </w:tcPr>
          <w:p w14:paraId="17DDFA65" w14:textId="45137B3E" w:rsidR="00445BD7" w:rsidRPr="00857646" w:rsidRDefault="00445BD7" w:rsidP="00526AA5">
            <w:pPr>
              <w:rPr>
                <w:rFonts w:ascii="Verdana" w:hAnsi="Verdana"/>
              </w:rPr>
            </w:pPr>
            <w:r w:rsidRPr="00857646">
              <w:rPr>
                <w:rFonts w:ascii="Verdana" w:hAnsi="Verdana"/>
                <w:color w:val="0070C0"/>
                <w:sz w:val="24"/>
                <w:szCs w:val="24"/>
              </w:rPr>
              <w:t xml:space="preserve">Data </w:t>
            </w:r>
            <w:r w:rsidR="00095E69" w:rsidRPr="00857646">
              <w:rPr>
                <w:rFonts w:ascii="Verdana" w:hAnsi="Verdana"/>
                <w:color w:val="0070C0"/>
                <w:sz w:val="24"/>
                <w:szCs w:val="24"/>
              </w:rPr>
              <w:t>O</w:t>
            </w:r>
            <w:r w:rsidRPr="00857646">
              <w:rPr>
                <w:rFonts w:ascii="Verdana" w:hAnsi="Verdana"/>
                <w:color w:val="0070C0"/>
                <w:sz w:val="24"/>
                <w:szCs w:val="24"/>
              </w:rPr>
              <w:t>pt-in</w:t>
            </w:r>
          </w:p>
        </w:tc>
        <w:tc>
          <w:tcPr>
            <w:tcW w:w="6680" w:type="dxa"/>
            <w:hideMark/>
          </w:tcPr>
          <w:p w14:paraId="39DBB1D6" w14:textId="77777777" w:rsidR="00445BD7" w:rsidRPr="00857646" w:rsidRDefault="00445BD7" w:rsidP="00526AA5">
            <w:pPr>
              <w:rPr>
                <w:rFonts w:ascii="Verdana" w:hAnsi="Verdana"/>
                <w:sz w:val="24"/>
                <w:szCs w:val="24"/>
              </w:rPr>
            </w:pPr>
            <w:r w:rsidRPr="00857646">
              <w:rPr>
                <w:rFonts w:ascii="Verdana" w:hAnsi="Verdana"/>
                <w:sz w:val="24"/>
                <w:szCs w:val="24"/>
              </w:rPr>
              <w:t>Under data protection law where the lawful basis requires ‘consent’, the individual will need to consciously opt-in (rather than merely opt-out) before processing can commence. Note:  most of the data processing undertaken by SODA is based on other lawful bases and so an opt-in or out does not arise.</w:t>
            </w:r>
          </w:p>
        </w:tc>
      </w:tr>
      <w:tr w:rsidR="00445BD7" w:rsidRPr="00857646" w14:paraId="28A3B97A" w14:textId="77777777" w:rsidTr="00526AA5">
        <w:tc>
          <w:tcPr>
            <w:tcW w:w="2336" w:type="dxa"/>
            <w:hideMark/>
          </w:tcPr>
          <w:p w14:paraId="50BCEDB7" w14:textId="1BE6877F" w:rsidR="00445BD7" w:rsidRPr="00857646" w:rsidRDefault="00445BD7" w:rsidP="00526AA5">
            <w:pPr>
              <w:rPr>
                <w:rFonts w:ascii="Verdana" w:hAnsi="Verdana"/>
              </w:rPr>
            </w:pPr>
            <w:r w:rsidRPr="00857646">
              <w:rPr>
                <w:rFonts w:ascii="Verdana" w:hAnsi="Verdana"/>
                <w:color w:val="0070C0"/>
                <w:sz w:val="24"/>
                <w:szCs w:val="24"/>
              </w:rPr>
              <w:t xml:space="preserve">Data </w:t>
            </w:r>
            <w:r w:rsidR="00095E69" w:rsidRPr="00857646">
              <w:rPr>
                <w:rFonts w:ascii="Verdana" w:hAnsi="Verdana"/>
                <w:color w:val="0070C0"/>
                <w:sz w:val="24"/>
                <w:szCs w:val="24"/>
              </w:rPr>
              <w:t>O</w:t>
            </w:r>
            <w:r w:rsidRPr="00857646">
              <w:rPr>
                <w:rFonts w:ascii="Verdana" w:hAnsi="Verdana"/>
                <w:color w:val="0070C0"/>
                <w:sz w:val="24"/>
                <w:szCs w:val="24"/>
              </w:rPr>
              <w:t>pt-out</w:t>
            </w:r>
          </w:p>
        </w:tc>
        <w:tc>
          <w:tcPr>
            <w:tcW w:w="6680" w:type="dxa"/>
            <w:hideMark/>
          </w:tcPr>
          <w:p w14:paraId="7AF874BF" w14:textId="77777777" w:rsidR="00445BD7" w:rsidRPr="00857646" w:rsidRDefault="00445BD7" w:rsidP="00526AA5">
            <w:pPr>
              <w:rPr>
                <w:rFonts w:ascii="Verdana" w:hAnsi="Verdana"/>
                <w:sz w:val="24"/>
                <w:szCs w:val="24"/>
              </w:rPr>
            </w:pPr>
            <w:r w:rsidRPr="00857646">
              <w:rPr>
                <w:rFonts w:ascii="Verdana" w:hAnsi="Verdana"/>
                <w:sz w:val="24"/>
                <w:szCs w:val="24"/>
              </w:rPr>
              <w:t>This is where an individual is given the opportunity to decline having their data captured and processed. This can be due to data protection law (e.g. an existing customer declining to be on a mailing list) or because of national or local policy (e.g. NHS allowing persons to decline having data used for non-direct care purposes).</w:t>
            </w:r>
          </w:p>
        </w:tc>
      </w:tr>
      <w:tr w:rsidR="00445BD7" w:rsidRPr="00857646" w14:paraId="1E64BA2E" w14:textId="77777777" w:rsidTr="00526AA5">
        <w:tc>
          <w:tcPr>
            <w:tcW w:w="2336" w:type="dxa"/>
            <w:hideMark/>
          </w:tcPr>
          <w:p w14:paraId="2C0F3AFD" w14:textId="77777777" w:rsidR="00445BD7" w:rsidRPr="00857646" w:rsidRDefault="00445BD7" w:rsidP="00526AA5">
            <w:pPr>
              <w:rPr>
                <w:rFonts w:ascii="Verdana" w:hAnsi="Verdana"/>
              </w:rPr>
            </w:pPr>
            <w:r w:rsidRPr="00857646">
              <w:rPr>
                <w:rFonts w:ascii="Verdana" w:hAnsi="Verdana"/>
                <w:color w:val="0070C0"/>
                <w:sz w:val="24"/>
                <w:szCs w:val="24"/>
              </w:rPr>
              <w:t>Data Owner</w:t>
            </w:r>
          </w:p>
        </w:tc>
        <w:tc>
          <w:tcPr>
            <w:tcW w:w="6680" w:type="dxa"/>
            <w:hideMark/>
          </w:tcPr>
          <w:p w14:paraId="5F56C231" w14:textId="77777777" w:rsidR="00445BD7" w:rsidRPr="00857646" w:rsidRDefault="00445BD7" w:rsidP="00526AA5">
            <w:pPr>
              <w:rPr>
                <w:rFonts w:ascii="Verdana" w:hAnsi="Verdana"/>
                <w:sz w:val="24"/>
                <w:szCs w:val="24"/>
              </w:rPr>
            </w:pPr>
            <w:r w:rsidRPr="00857646">
              <w:rPr>
                <w:rFonts w:ascii="Verdana" w:hAnsi="Verdana"/>
                <w:sz w:val="24"/>
                <w:szCs w:val="24"/>
              </w:rPr>
              <w:t>This is the person or organisation which is responsible for data on a day-to-day basis. Note: this is not the same as ‘data controller’ which is a legal term to describe the person or entity which is responsible for the purposes and manner to which personal data is processed in accordance with GDPR/DPA.</w:t>
            </w:r>
          </w:p>
        </w:tc>
      </w:tr>
      <w:tr w:rsidR="00445BD7" w:rsidRPr="00857646" w14:paraId="3C3D7D24" w14:textId="77777777" w:rsidTr="00526AA5">
        <w:tc>
          <w:tcPr>
            <w:tcW w:w="2336" w:type="dxa"/>
          </w:tcPr>
          <w:p w14:paraId="19472B2A"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Data Owner/Controller</w:t>
            </w:r>
          </w:p>
        </w:tc>
        <w:tc>
          <w:tcPr>
            <w:tcW w:w="6680" w:type="dxa"/>
          </w:tcPr>
          <w:p w14:paraId="5A4FA36D" w14:textId="77777777" w:rsidR="00445BD7" w:rsidRPr="00857646" w:rsidRDefault="00445BD7" w:rsidP="00E91A93">
            <w:pPr>
              <w:rPr>
                <w:rFonts w:ascii="Verdana" w:hAnsi="Verdana"/>
                <w:sz w:val="24"/>
                <w:szCs w:val="24"/>
              </w:rPr>
            </w:pPr>
            <w:r w:rsidRPr="00857646">
              <w:rPr>
                <w:rFonts w:ascii="Verdana" w:hAnsi="Verdana"/>
                <w:sz w:val="24"/>
                <w:szCs w:val="24"/>
              </w:rPr>
              <w:t>An organisation, team or individual responsible for the possession and storage of logically grouped data. The Data Owner/Controller also determines the means and reasons for which the data is used.</w:t>
            </w:r>
          </w:p>
        </w:tc>
      </w:tr>
      <w:tr w:rsidR="00445BD7" w:rsidRPr="00857646" w14:paraId="110AA93B" w14:textId="77777777" w:rsidTr="00526AA5">
        <w:tc>
          <w:tcPr>
            <w:tcW w:w="2336" w:type="dxa"/>
          </w:tcPr>
          <w:p w14:paraId="1DF6A12D"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Data Processors</w:t>
            </w:r>
          </w:p>
        </w:tc>
        <w:tc>
          <w:tcPr>
            <w:tcW w:w="6680" w:type="dxa"/>
          </w:tcPr>
          <w:p w14:paraId="1991FFAF" w14:textId="77777777" w:rsidR="00445BD7" w:rsidRPr="00857646" w:rsidRDefault="00445BD7" w:rsidP="00E91A93">
            <w:pPr>
              <w:rPr>
                <w:rFonts w:ascii="Verdana" w:hAnsi="Verdana"/>
                <w:sz w:val="24"/>
                <w:szCs w:val="24"/>
              </w:rPr>
            </w:pPr>
            <w:r w:rsidRPr="00857646">
              <w:rPr>
                <w:rFonts w:ascii="Verdana" w:hAnsi="Verdana"/>
                <w:sz w:val="24"/>
                <w:szCs w:val="24"/>
              </w:rPr>
              <w:t xml:space="preserve">An organisation, team or individual who changes and reorganises data on behalf of a Data Controller. </w:t>
            </w:r>
          </w:p>
        </w:tc>
      </w:tr>
      <w:tr w:rsidR="00445BD7" w:rsidRPr="00857646" w14:paraId="16CC77FD" w14:textId="77777777" w:rsidTr="00526AA5">
        <w:tc>
          <w:tcPr>
            <w:tcW w:w="2336" w:type="dxa"/>
          </w:tcPr>
          <w:p w14:paraId="610AE8F0" w14:textId="77777777" w:rsidR="00445BD7" w:rsidRPr="00857646" w:rsidRDefault="00445BD7" w:rsidP="00E91A93">
            <w:pPr>
              <w:rPr>
                <w:rFonts w:ascii="Verdana" w:hAnsi="Verdana"/>
                <w:sz w:val="24"/>
                <w:szCs w:val="24"/>
              </w:rPr>
            </w:pPr>
            <w:r w:rsidRPr="00857646">
              <w:rPr>
                <w:rFonts w:ascii="Verdana" w:hAnsi="Verdana"/>
                <w:color w:val="0070C0"/>
                <w:sz w:val="24"/>
                <w:szCs w:val="24"/>
              </w:rPr>
              <w:t>Data Protection Act (DPA)</w:t>
            </w:r>
          </w:p>
        </w:tc>
        <w:tc>
          <w:tcPr>
            <w:tcW w:w="6680" w:type="dxa"/>
          </w:tcPr>
          <w:p w14:paraId="7A973B57" w14:textId="77777777" w:rsidR="00445BD7" w:rsidRPr="00857646" w:rsidRDefault="00445BD7" w:rsidP="00E91A93">
            <w:pPr>
              <w:rPr>
                <w:rFonts w:ascii="Verdana" w:hAnsi="Verdana"/>
                <w:sz w:val="24"/>
                <w:szCs w:val="24"/>
              </w:rPr>
            </w:pPr>
            <w:r w:rsidRPr="00857646">
              <w:rPr>
                <w:rFonts w:ascii="Verdana" w:hAnsi="Verdana"/>
                <w:sz w:val="24"/>
                <w:szCs w:val="24"/>
              </w:rPr>
              <w:t xml:space="preserve">The Data Protection Act 2018 is the UK’s implementation of the General Data Protection Regulation (GDPR). Controls established to dictate how your personal information is used by </w:t>
            </w:r>
            <w:r w:rsidRPr="00857646">
              <w:rPr>
                <w:rFonts w:ascii="Verdana" w:hAnsi="Verdana"/>
                <w:sz w:val="24"/>
                <w:szCs w:val="24"/>
              </w:rPr>
              <w:lastRenderedPageBreak/>
              <w:t>organisations, businesses or the government. The use of personal data requires data processors and owners to follow a strict set of governance rules known as the ‘data protection principles’.</w:t>
            </w:r>
          </w:p>
        </w:tc>
      </w:tr>
      <w:tr w:rsidR="00445BD7" w:rsidRPr="00857646" w14:paraId="28E2DD6A" w14:textId="77777777" w:rsidTr="00526AA5">
        <w:tc>
          <w:tcPr>
            <w:tcW w:w="2336" w:type="dxa"/>
          </w:tcPr>
          <w:p w14:paraId="3D23D04B" w14:textId="77777777" w:rsidR="00445BD7" w:rsidRPr="00857646" w:rsidRDefault="00445BD7" w:rsidP="00E91A93">
            <w:pPr>
              <w:rPr>
                <w:rFonts w:ascii="Verdana" w:hAnsi="Verdana"/>
                <w:sz w:val="24"/>
                <w:szCs w:val="24"/>
              </w:rPr>
            </w:pPr>
            <w:r w:rsidRPr="00857646">
              <w:rPr>
                <w:rFonts w:ascii="Verdana" w:hAnsi="Verdana"/>
                <w:color w:val="0070C0"/>
                <w:sz w:val="24"/>
                <w:szCs w:val="24"/>
              </w:rPr>
              <w:lastRenderedPageBreak/>
              <w:t>Data Protection Impact Assessment (DPIA)</w:t>
            </w:r>
          </w:p>
        </w:tc>
        <w:tc>
          <w:tcPr>
            <w:tcW w:w="6680" w:type="dxa"/>
          </w:tcPr>
          <w:p w14:paraId="21FAAD9B" w14:textId="77777777" w:rsidR="00445BD7" w:rsidRPr="00857646" w:rsidRDefault="00445BD7" w:rsidP="00E91A93">
            <w:pPr>
              <w:rPr>
                <w:rFonts w:ascii="Verdana" w:hAnsi="Verdana"/>
                <w:sz w:val="24"/>
                <w:szCs w:val="24"/>
              </w:rPr>
            </w:pPr>
            <w:r w:rsidRPr="00857646">
              <w:rPr>
                <w:rFonts w:ascii="Verdana" w:hAnsi="Verdana"/>
                <w:sz w:val="24"/>
                <w:szCs w:val="24"/>
              </w:rPr>
              <w:t>The process used to identify and minimise the risk that occurs from the processing of data. Designed to minimise risk at the earliest opportunity, an DPIA is also required to comply with GDPR.</w:t>
            </w:r>
          </w:p>
        </w:tc>
      </w:tr>
      <w:tr w:rsidR="00445BD7" w:rsidRPr="00857646" w14:paraId="7599C2C2" w14:textId="77777777" w:rsidTr="00526AA5">
        <w:tc>
          <w:tcPr>
            <w:tcW w:w="2336" w:type="dxa"/>
            <w:hideMark/>
          </w:tcPr>
          <w:p w14:paraId="2254F7A3" w14:textId="77777777" w:rsidR="00445BD7" w:rsidRPr="00857646" w:rsidRDefault="00445BD7" w:rsidP="00526AA5">
            <w:pPr>
              <w:rPr>
                <w:rFonts w:ascii="Verdana" w:hAnsi="Verdana"/>
              </w:rPr>
            </w:pPr>
            <w:r w:rsidRPr="00857646">
              <w:rPr>
                <w:rFonts w:ascii="Verdana" w:hAnsi="Verdana"/>
                <w:color w:val="0070C0"/>
                <w:sz w:val="24"/>
                <w:szCs w:val="24"/>
              </w:rPr>
              <w:t>Data Protection Officer</w:t>
            </w:r>
          </w:p>
        </w:tc>
        <w:tc>
          <w:tcPr>
            <w:tcW w:w="6680" w:type="dxa"/>
            <w:hideMark/>
          </w:tcPr>
          <w:p w14:paraId="30ACF0AC" w14:textId="77777777" w:rsidR="00445BD7" w:rsidRPr="00857646" w:rsidRDefault="00445BD7" w:rsidP="00526AA5">
            <w:pPr>
              <w:rPr>
                <w:rFonts w:ascii="Verdana" w:hAnsi="Verdana"/>
                <w:sz w:val="24"/>
                <w:szCs w:val="24"/>
              </w:rPr>
            </w:pPr>
            <w:r w:rsidRPr="00857646">
              <w:rPr>
                <w:rFonts w:ascii="Verdana" w:hAnsi="Verdana"/>
                <w:sz w:val="24"/>
                <w:szCs w:val="24"/>
              </w:rPr>
              <w:t xml:space="preserve">This is the individual appointed under the terms of GDPR/DPA to advise on data protection compliance. </w:t>
            </w:r>
          </w:p>
        </w:tc>
      </w:tr>
      <w:tr w:rsidR="00445BD7" w:rsidRPr="00857646" w14:paraId="1226BD21" w14:textId="77777777" w:rsidTr="00526AA5">
        <w:tc>
          <w:tcPr>
            <w:tcW w:w="2336" w:type="dxa"/>
          </w:tcPr>
          <w:p w14:paraId="26D1893C" w14:textId="77777777" w:rsidR="00445BD7" w:rsidRPr="00857646" w:rsidRDefault="00445BD7" w:rsidP="00E91A93">
            <w:pPr>
              <w:rPr>
                <w:rFonts w:ascii="Verdana" w:hAnsi="Verdana"/>
                <w:sz w:val="24"/>
                <w:szCs w:val="24"/>
              </w:rPr>
            </w:pPr>
            <w:r w:rsidRPr="00857646">
              <w:rPr>
                <w:rFonts w:ascii="Verdana" w:hAnsi="Verdana"/>
                <w:color w:val="0070C0"/>
                <w:sz w:val="24"/>
                <w:szCs w:val="24"/>
              </w:rPr>
              <w:t>Data Protection Principles</w:t>
            </w:r>
          </w:p>
        </w:tc>
        <w:tc>
          <w:tcPr>
            <w:tcW w:w="6680" w:type="dxa"/>
          </w:tcPr>
          <w:p w14:paraId="4F8A86E8" w14:textId="77777777" w:rsidR="00445BD7" w:rsidRPr="00857646" w:rsidRDefault="00445BD7" w:rsidP="0016435C">
            <w:pPr>
              <w:pStyle w:val="NoSpacing"/>
              <w:rPr>
                <w:rFonts w:ascii="Verdana" w:hAnsi="Verdana"/>
                <w:sz w:val="24"/>
                <w:szCs w:val="24"/>
              </w:rPr>
            </w:pPr>
            <w:r w:rsidRPr="00857646">
              <w:rPr>
                <w:rFonts w:ascii="Verdana" w:hAnsi="Verdana"/>
                <w:sz w:val="24"/>
                <w:szCs w:val="24"/>
              </w:rPr>
              <w:t>To comply with the Data Protection Act data processors must follow the ‘data protection principles’. To ensure the information is:</w:t>
            </w:r>
          </w:p>
          <w:p w14:paraId="10665065" w14:textId="77777777" w:rsidR="00445BD7" w:rsidRPr="00857646" w:rsidRDefault="00445BD7" w:rsidP="0016435C">
            <w:pPr>
              <w:numPr>
                <w:ilvl w:val="0"/>
                <w:numId w:val="1"/>
              </w:numPr>
              <w:shd w:val="clear" w:color="auto" w:fill="FFFFFF"/>
              <w:spacing w:after="75"/>
              <w:ind w:left="1020"/>
              <w:rPr>
                <w:rFonts w:ascii="Verdana" w:hAnsi="Verdana"/>
                <w:sz w:val="24"/>
                <w:szCs w:val="24"/>
              </w:rPr>
            </w:pPr>
            <w:r w:rsidRPr="00857646">
              <w:rPr>
                <w:rFonts w:ascii="Verdana" w:hAnsi="Verdana"/>
                <w:sz w:val="24"/>
                <w:szCs w:val="24"/>
              </w:rPr>
              <w:t>used fairly, lawfully and transparently</w:t>
            </w:r>
          </w:p>
          <w:p w14:paraId="4026EB90" w14:textId="77777777" w:rsidR="00445BD7" w:rsidRPr="00857646" w:rsidRDefault="00445BD7" w:rsidP="0016435C">
            <w:pPr>
              <w:numPr>
                <w:ilvl w:val="0"/>
                <w:numId w:val="1"/>
              </w:numPr>
              <w:shd w:val="clear" w:color="auto" w:fill="FFFFFF"/>
              <w:spacing w:after="75"/>
              <w:ind w:left="1020"/>
              <w:rPr>
                <w:rFonts w:ascii="Verdana" w:hAnsi="Verdana"/>
                <w:sz w:val="24"/>
                <w:szCs w:val="24"/>
              </w:rPr>
            </w:pPr>
            <w:r w:rsidRPr="00857646">
              <w:rPr>
                <w:rFonts w:ascii="Verdana" w:hAnsi="Verdana"/>
                <w:sz w:val="24"/>
                <w:szCs w:val="24"/>
              </w:rPr>
              <w:t>used for specified, explicit purposes</w:t>
            </w:r>
          </w:p>
          <w:p w14:paraId="3027C7FC" w14:textId="77777777" w:rsidR="00445BD7" w:rsidRPr="00857646" w:rsidRDefault="00445BD7" w:rsidP="0016435C">
            <w:pPr>
              <w:numPr>
                <w:ilvl w:val="0"/>
                <w:numId w:val="1"/>
              </w:numPr>
              <w:shd w:val="clear" w:color="auto" w:fill="FFFFFF"/>
              <w:spacing w:after="75"/>
              <w:ind w:left="1020"/>
              <w:rPr>
                <w:rFonts w:ascii="Verdana" w:hAnsi="Verdana"/>
                <w:sz w:val="24"/>
                <w:szCs w:val="24"/>
              </w:rPr>
            </w:pPr>
            <w:r w:rsidRPr="00857646">
              <w:rPr>
                <w:rFonts w:ascii="Verdana" w:hAnsi="Verdana"/>
                <w:sz w:val="24"/>
                <w:szCs w:val="24"/>
              </w:rPr>
              <w:t>used in a way that is adequate, relevant and limited to only what is necessary</w:t>
            </w:r>
          </w:p>
          <w:p w14:paraId="012FCBC4" w14:textId="77777777" w:rsidR="00445BD7" w:rsidRPr="00857646" w:rsidRDefault="00445BD7" w:rsidP="0016435C">
            <w:pPr>
              <w:numPr>
                <w:ilvl w:val="0"/>
                <w:numId w:val="1"/>
              </w:numPr>
              <w:shd w:val="clear" w:color="auto" w:fill="FFFFFF"/>
              <w:spacing w:after="75"/>
              <w:ind w:left="1020"/>
              <w:rPr>
                <w:rFonts w:ascii="Verdana" w:hAnsi="Verdana"/>
                <w:sz w:val="24"/>
                <w:szCs w:val="24"/>
              </w:rPr>
            </w:pPr>
            <w:r w:rsidRPr="00857646">
              <w:rPr>
                <w:rFonts w:ascii="Verdana" w:hAnsi="Verdana"/>
                <w:sz w:val="24"/>
                <w:szCs w:val="24"/>
              </w:rPr>
              <w:t>accurate and, where necessary, kept up to date</w:t>
            </w:r>
          </w:p>
          <w:p w14:paraId="21A8E10B" w14:textId="77777777" w:rsidR="00445BD7" w:rsidRPr="00857646" w:rsidRDefault="00445BD7" w:rsidP="0016435C">
            <w:pPr>
              <w:numPr>
                <w:ilvl w:val="0"/>
                <w:numId w:val="1"/>
              </w:numPr>
              <w:shd w:val="clear" w:color="auto" w:fill="FFFFFF"/>
              <w:spacing w:after="75"/>
              <w:ind w:left="1020"/>
              <w:rPr>
                <w:rFonts w:ascii="Verdana" w:hAnsi="Verdana"/>
                <w:sz w:val="24"/>
                <w:szCs w:val="24"/>
              </w:rPr>
            </w:pPr>
            <w:r w:rsidRPr="00857646">
              <w:rPr>
                <w:rFonts w:ascii="Verdana" w:hAnsi="Verdana"/>
                <w:sz w:val="24"/>
                <w:szCs w:val="24"/>
              </w:rPr>
              <w:t>kept for no longer than is necessary</w:t>
            </w:r>
          </w:p>
          <w:p w14:paraId="66CE175F" w14:textId="77777777" w:rsidR="00445BD7" w:rsidRPr="00857646" w:rsidRDefault="00445BD7" w:rsidP="0016435C">
            <w:pPr>
              <w:numPr>
                <w:ilvl w:val="0"/>
                <w:numId w:val="1"/>
              </w:numPr>
              <w:shd w:val="clear" w:color="auto" w:fill="FFFFFF"/>
              <w:spacing w:after="75"/>
              <w:ind w:left="1020"/>
              <w:rPr>
                <w:rFonts w:ascii="Verdana" w:hAnsi="Verdana"/>
                <w:sz w:val="24"/>
                <w:szCs w:val="24"/>
              </w:rPr>
            </w:pPr>
            <w:r w:rsidRPr="00857646">
              <w:rPr>
                <w:rFonts w:ascii="Verdana" w:hAnsi="Verdana"/>
                <w:sz w:val="24"/>
                <w:szCs w:val="24"/>
              </w:rPr>
              <w:t>handled in a way that ensures appropriate security, including protection against unlawful or unauthorised processing, access, loss, destruction or damage</w:t>
            </w:r>
          </w:p>
          <w:p w14:paraId="0B637B95" w14:textId="77777777" w:rsidR="00445BD7" w:rsidRPr="00857646" w:rsidRDefault="00445BD7" w:rsidP="0016435C">
            <w:pPr>
              <w:shd w:val="clear" w:color="auto" w:fill="FFFFFF"/>
              <w:spacing w:after="75"/>
              <w:ind w:left="1020"/>
              <w:rPr>
                <w:rFonts w:ascii="Verdana" w:hAnsi="Verdana"/>
                <w:sz w:val="24"/>
                <w:szCs w:val="24"/>
              </w:rPr>
            </w:pPr>
          </w:p>
          <w:p w14:paraId="0288B9AE" w14:textId="77777777" w:rsidR="00445BD7" w:rsidRPr="00857646" w:rsidRDefault="00445BD7" w:rsidP="0016435C">
            <w:pPr>
              <w:pStyle w:val="NoSpacing"/>
              <w:rPr>
                <w:rFonts w:ascii="Verdana" w:hAnsi="Verdana"/>
              </w:rPr>
            </w:pPr>
            <w:r w:rsidRPr="00857646">
              <w:rPr>
                <w:rFonts w:ascii="Verdana" w:hAnsi="Verdana"/>
              </w:rPr>
              <w:t>Sensitive information requires stricter governance compromised of the following information:</w:t>
            </w:r>
          </w:p>
          <w:p w14:paraId="524804AD" w14:textId="77777777" w:rsidR="00445BD7" w:rsidRPr="00857646" w:rsidRDefault="00445BD7" w:rsidP="0016435C">
            <w:pPr>
              <w:numPr>
                <w:ilvl w:val="0"/>
                <w:numId w:val="2"/>
              </w:numPr>
              <w:shd w:val="clear" w:color="auto" w:fill="FFFFFF"/>
              <w:spacing w:after="75"/>
              <w:ind w:left="1020"/>
              <w:rPr>
                <w:rFonts w:ascii="Verdana" w:hAnsi="Verdana"/>
                <w:sz w:val="24"/>
                <w:szCs w:val="24"/>
              </w:rPr>
            </w:pPr>
            <w:r w:rsidRPr="00857646">
              <w:rPr>
                <w:rFonts w:ascii="Verdana" w:hAnsi="Verdana"/>
                <w:sz w:val="24"/>
                <w:szCs w:val="24"/>
              </w:rPr>
              <w:t>race</w:t>
            </w:r>
          </w:p>
          <w:p w14:paraId="2FE85118" w14:textId="77777777" w:rsidR="00445BD7" w:rsidRPr="00857646" w:rsidRDefault="00445BD7" w:rsidP="0016435C">
            <w:pPr>
              <w:numPr>
                <w:ilvl w:val="0"/>
                <w:numId w:val="2"/>
              </w:numPr>
              <w:shd w:val="clear" w:color="auto" w:fill="FFFFFF"/>
              <w:spacing w:after="75"/>
              <w:ind w:left="1020"/>
              <w:rPr>
                <w:rFonts w:ascii="Verdana" w:hAnsi="Verdana"/>
                <w:sz w:val="24"/>
                <w:szCs w:val="24"/>
              </w:rPr>
            </w:pPr>
            <w:r w:rsidRPr="00857646">
              <w:rPr>
                <w:rFonts w:ascii="Verdana" w:hAnsi="Verdana"/>
                <w:sz w:val="24"/>
                <w:szCs w:val="24"/>
              </w:rPr>
              <w:t>ethnic background</w:t>
            </w:r>
          </w:p>
          <w:p w14:paraId="7E7BD3F1" w14:textId="77777777" w:rsidR="00445BD7" w:rsidRPr="00857646" w:rsidRDefault="00445BD7" w:rsidP="0016435C">
            <w:pPr>
              <w:numPr>
                <w:ilvl w:val="0"/>
                <w:numId w:val="2"/>
              </w:numPr>
              <w:shd w:val="clear" w:color="auto" w:fill="FFFFFF"/>
              <w:spacing w:after="75"/>
              <w:ind w:left="1020"/>
              <w:rPr>
                <w:rFonts w:ascii="Verdana" w:hAnsi="Verdana"/>
                <w:sz w:val="24"/>
                <w:szCs w:val="24"/>
              </w:rPr>
            </w:pPr>
            <w:r w:rsidRPr="00857646">
              <w:rPr>
                <w:rFonts w:ascii="Verdana" w:hAnsi="Verdana"/>
                <w:sz w:val="24"/>
                <w:szCs w:val="24"/>
              </w:rPr>
              <w:t>political opinions</w:t>
            </w:r>
          </w:p>
          <w:p w14:paraId="6F7EB6AA" w14:textId="77777777" w:rsidR="00445BD7" w:rsidRPr="00857646" w:rsidRDefault="00445BD7" w:rsidP="0016435C">
            <w:pPr>
              <w:numPr>
                <w:ilvl w:val="0"/>
                <w:numId w:val="2"/>
              </w:numPr>
              <w:shd w:val="clear" w:color="auto" w:fill="FFFFFF"/>
              <w:spacing w:after="75"/>
              <w:ind w:left="1020"/>
              <w:rPr>
                <w:rFonts w:ascii="Verdana" w:hAnsi="Verdana"/>
                <w:sz w:val="24"/>
                <w:szCs w:val="24"/>
              </w:rPr>
            </w:pPr>
            <w:r w:rsidRPr="00857646">
              <w:rPr>
                <w:rFonts w:ascii="Verdana" w:hAnsi="Verdana"/>
                <w:sz w:val="24"/>
                <w:szCs w:val="24"/>
              </w:rPr>
              <w:t>religious beliefs</w:t>
            </w:r>
          </w:p>
          <w:p w14:paraId="6B328A2C" w14:textId="77777777" w:rsidR="00445BD7" w:rsidRPr="00857646" w:rsidRDefault="00445BD7" w:rsidP="0016435C">
            <w:pPr>
              <w:numPr>
                <w:ilvl w:val="0"/>
                <w:numId w:val="2"/>
              </w:numPr>
              <w:shd w:val="clear" w:color="auto" w:fill="FFFFFF"/>
              <w:spacing w:after="75"/>
              <w:ind w:left="1020"/>
              <w:rPr>
                <w:rFonts w:ascii="Verdana" w:hAnsi="Verdana"/>
                <w:sz w:val="24"/>
                <w:szCs w:val="24"/>
              </w:rPr>
            </w:pPr>
            <w:r w:rsidRPr="00857646">
              <w:rPr>
                <w:rFonts w:ascii="Verdana" w:hAnsi="Verdana"/>
                <w:sz w:val="24"/>
                <w:szCs w:val="24"/>
              </w:rPr>
              <w:t>trade union membership</w:t>
            </w:r>
          </w:p>
          <w:p w14:paraId="0CEBA1EA" w14:textId="77777777" w:rsidR="00445BD7" w:rsidRPr="00857646" w:rsidRDefault="00445BD7" w:rsidP="0016435C">
            <w:pPr>
              <w:numPr>
                <w:ilvl w:val="0"/>
                <w:numId w:val="2"/>
              </w:numPr>
              <w:shd w:val="clear" w:color="auto" w:fill="FFFFFF"/>
              <w:spacing w:after="75"/>
              <w:ind w:left="1020"/>
              <w:rPr>
                <w:rFonts w:ascii="Verdana" w:hAnsi="Verdana"/>
                <w:sz w:val="24"/>
                <w:szCs w:val="24"/>
              </w:rPr>
            </w:pPr>
            <w:r w:rsidRPr="00857646">
              <w:rPr>
                <w:rFonts w:ascii="Verdana" w:hAnsi="Verdana"/>
                <w:sz w:val="24"/>
                <w:szCs w:val="24"/>
              </w:rPr>
              <w:t>genetics</w:t>
            </w:r>
          </w:p>
          <w:p w14:paraId="46AF3F16" w14:textId="77777777" w:rsidR="00445BD7" w:rsidRPr="00857646" w:rsidRDefault="00445BD7" w:rsidP="0016435C">
            <w:pPr>
              <w:numPr>
                <w:ilvl w:val="0"/>
                <w:numId w:val="2"/>
              </w:numPr>
              <w:shd w:val="clear" w:color="auto" w:fill="FFFFFF"/>
              <w:spacing w:after="75"/>
              <w:ind w:left="1020"/>
              <w:rPr>
                <w:rFonts w:ascii="Verdana" w:hAnsi="Verdana"/>
                <w:sz w:val="24"/>
                <w:szCs w:val="24"/>
              </w:rPr>
            </w:pPr>
            <w:r w:rsidRPr="00857646">
              <w:rPr>
                <w:rFonts w:ascii="Verdana" w:hAnsi="Verdana"/>
                <w:sz w:val="24"/>
                <w:szCs w:val="24"/>
              </w:rPr>
              <w:t>biometrics (where used for identification)</w:t>
            </w:r>
          </w:p>
          <w:p w14:paraId="4C1407DB" w14:textId="77777777" w:rsidR="00445BD7" w:rsidRPr="00857646" w:rsidRDefault="00445BD7" w:rsidP="0016435C">
            <w:pPr>
              <w:numPr>
                <w:ilvl w:val="0"/>
                <w:numId w:val="2"/>
              </w:numPr>
              <w:shd w:val="clear" w:color="auto" w:fill="FFFFFF"/>
              <w:spacing w:after="75"/>
              <w:ind w:left="1020"/>
              <w:rPr>
                <w:rFonts w:ascii="Verdana" w:hAnsi="Verdana"/>
                <w:sz w:val="24"/>
                <w:szCs w:val="24"/>
              </w:rPr>
            </w:pPr>
            <w:r w:rsidRPr="00857646">
              <w:rPr>
                <w:rFonts w:ascii="Verdana" w:hAnsi="Verdana"/>
                <w:sz w:val="24"/>
                <w:szCs w:val="24"/>
              </w:rPr>
              <w:t>health</w:t>
            </w:r>
          </w:p>
          <w:p w14:paraId="377E46BC" w14:textId="77777777" w:rsidR="00445BD7" w:rsidRPr="00857646" w:rsidRDefault="00445BD7" w:rsidP="0016435C">
            <w:pPr>
              <w:numPr>
                <w:ilvl w:val="0"/>
                <w:numId w:val="2"/>
              </w:numPr>
              <w:shd w:val="clear" w:color="auto" w:fill="FFFFFF"/>
              <w:spacing w:after="75"/>
              <w:ind w:left="1020"/>
              <w:rPr>
                <w:rFonts w:ascii="Verdana" w:hAnsi="Verdana"/>
                <w:sz w:val="24"/>
                <w:szCs w:val="24"/>
              </w:rPr>
            </w:pPr>
            <w:r w:rsidRPr="00857646">
              <w:rPr>
                <w:rFonts w:ascii="Verdana" w:hAnsi="Verdana"/>
                <w:sz w:val="24"/>
                <w:szCs w:val="24"/>
              </w:rPr>
              <w:t>sex life or orientation</w:t>
            </w:r>
          </w:p>
          <w:p w14:paraId="026C5C8A" w14:textId="77777777" w:rsidR="00445BD7" w:rsidRPr="00857646" w:rsidRDefault="00445BD7" w:rsidP="00E91A93">
            <w:pPr>
              <w:rPr>
                <w:rFonts w:ascii="Verdana" w:hAnsi="Verdana"/>
                <w:sz w:val="24"/>
                <w:szCs w:val="24"/>
              </w:rPr>
            </w:pPr>
            <w:r w:rsidRPr="00857646">
              <w:rPr>
                <w:rFonts w:ascii="Verdana" w:hAnsi="Verdana"/>
                <w:sz w:val="24"/>
                <w:szCs w:val="24"/>
              </w:rPr>
              <w:t>There are separate safeguards for personal data relating to criminal convictions and offences.</w:t>
            </w:r>
          </w:p>
        </w:tc>
      </w:tr>
      <w:tr w:rsidR="00445BD7" w:rsidRPr="00857646" w14:paraId="7702AB55" w14:textId="77777777" w:rsidTr="00526AA5">
        <w:tc>
          <w:tcPr>
            <w:tcW w:w="2336" w:type="dxa"/>
          </w:tcPr>
          <w:p w14:paraId="733247CC"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Data Schema</w:t>
            </w:r>
          </w:p>
        </w:tc>
        <w:tc>
          <w:tcPr>
            <w:tcW w:w="6680" w:type="dxa"/>
          </w:tcPr>
          <w:p w14:paraId="6AF93F6A" w14:textId="77777777" w:rsidR="00445BD7" w:rsidRPr="00857646" w:rsidRDefault="00445BD7" w:rsidP="00E91A93">
            <w:pPr>
              <w:rPr>
                <w:rFonts w:ascii="Verdana" w:hAnsi="Verdana"/>
                <w:sz w:val="24"/>
                <w:szCs w:val="24"/>
              </w:rPr>
            </w:pPr>
            <w:r w:rsidRPr="00857646">
              <w:rPr>
                <w:rFonts w:ascii="Verdana" w:hAnsi="Verdana"/>
                <w:sz w:val="24"/>
                <w:szCs w:val="24"/>
              </w:rPr>
              <w:t xml:space="preserve">The blueprint of a database, showing what datasets are included and what variables make up each database. </w:t>
            </w:r>
          </w:p>
        </w:tc>
      </w:tr>
      <w:tr w:rsidR="00445BD7" w:rsidRPr="00857646" w14:paraId="360E4A8B" w14:textId="77777777" w:rsidTr="00526AA5">
        <w:tc>
          <w:tcPr>
            <w:tcW w:w="2336" w:type="dxa"/>
            <w:hideMark/>
          </w:tcPr>
          <w:p w14:paraId="3C73D663" w14:textId="77777777" w:rsidR="00445BD7" w:rsidRPr="00857646" w:rsidRDefault="00445BD7" w:rsidP="00526AA5">
            <w:pPr>
              <w:rPr>
                <w:rFonts w:ascii="Verdana" w:hAnsi="Verdana"/>
              </w:rPr>
            </w:pPr>
            <w:r w:rsidRPr="00857646">
              <w:rPr>
                <w:rFonts w:ascii="Verdana" w:hAnsi="Verdana"/>
                <w:color w:val="0070C0"/>
                <w:sz w:val="24"/>
                <w:szCs w:val="24"/>
              </w:rPr>
              <w:lastRenderedPageBreak/>
              <w:t>Data Subject</w:t>
            </w:r>
          </w:p>
        </w:tc>
        <w:tc>
          <w:tcPr>
            <w:tcW w:w="6680" w:type="dxa"/>
            <w:hideMark/>
          </w:tcPr>
          <w:p w14:paraId="42F46D34" w14:textId="77777777" w:rsidR="00445BD7" w:rsidRPr="00857646" w:rsidRDefault="00445BD7" w:rsidP="00526AA5">
            <w:pPr>
              <w:rPr>
                <w:rFonts w:ascii="Verdana" w:hAnsi="Verdana"/>
                <w:sz w:val="24"/>
                <w:szCs w:val="24"/>
              </w:rPr>
            </w:pPr>
            <w:r w:rsidRPr="00857646">
              <w:rPr>
                <w:rFonts w:ascii="Verdana" w:hAnsi="Verdana"/>
                <w:sz w:val="24"/>
                <w:szCs w:val="24"/>
              </w:rPr>
              <w:t>In the context of data protection law, the ‘data subject’ is the living person that the data relates to. He/she has certain ‘data subject rights’ in law.</w:t>
            </w:r>
          </w:p>
        </w:tc>
      </w:tr>
      <w:tr w:rsidR="00445BD7" w:rsidRPr="00857646" w14:paraId="5DC91AED" w14:textId="77777777" w:rsidTr="00526AA5">
        <w:tc>
          <w:tcPr>
            <w:tcW w:w="2336" w:type="dxa"/>
          </w:tcPr>
          <w:p w14:paraId="5D4E8A7D" w14:textId="77777777" w:rsidR="00445BD7" w:rsidRPr="00857646" w:rsidRDefault="00445BD7" w:rsidP="00E91A93">
            <w:pPr>
              <w:rPr>
                <w:rFonts w:ascii="Verdana" w:hAnsi="Verdana"/>
                <w:sz w:val="24"/>
                <w:szCs w:val="24"/>
              </w:rPr>
            </w:pPr>
            <w:r w:rsidRPr="00857646">
              <w:rPr>
                <w:rFonts w:ascii="Verdana" w:hAnsi="Verdana"/>
                <w:color w:val="0070C0"/>
                <w:sz w:val="24"/>
                <w:szCs w:val="24"/>
              </w:rPr>
              <w:t>Data Visualisation</w:t>
            </w:r>
          </w:p>
        </w:tc>
        <w:tc>
          <w:tcPr>
            <w:tcW w:w="6680" w:type="dxa"/>
          </w:tcPr>
          <w:p w14:paraId="2923CF01" w14:textId="77777777" w:rsidR="00445BD7" w:rsidRPr="00857646" w:rsidRDefault="00445BD7" w:rsidP="00E91A93">
            <w:pPr>
              <w:rPr>
                <w:rFonts w:ascii="Verdana" w:hAnsi="Verdana"/>
                <w:sz w:val="24"/>
                <w:szCs w:val="24"/>
              </w:rPr>
            </w:pPr>
            <w:r w:rsidRPr="00857646">
              <w:rPr>
                <w:rFonts w:ascii="Verdana" w:hAnsi="Verdana"/>
                <w:sz w:val="24"/>
                <w:szCs w:val="24"/>
              </w:rPr>
              <w:t>A visual made to display data.</w:t>
            </w:r>
          </w:p>
        </w:tc>
      </w:tr>
      <w:tr w:rsidR="00445BD7" w:rsidRPr="00857646" w14:paraId="526259EB" w14:textId="77777777" w:rsidTr="00526AA5">
        <w:tc>
          <w:tcPr>
            <w:tcW w:w="2336" w:type="dxa"/>
          </w:tcPr>
          <w:p w14:paraId="071ACD78"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Data Warehouse</w:t>
            </w:r>
          </w:p>
        </w:tc>
        <w:tc>
          <w:tcPr>
            <w:tcW w:w="6680" w:type="dxa"/>
          </w:tcPr>
          <w:p w14:paraId="2A492021" w14:textId="77777777" w:rsidR="00445BD7" w:rsidRPr="00857646" w:rsidRDefault="00445BD7" w:rsidP="00E91A93">
            <w:pPr>
              <w:rPr>
                <w:rFonts w:ascii="Verdana" w:hAnsi="Verdana"/>
                <w:sz w:val="24"/>
                <w:szCs w:val="24"/>
              </w:rPr>
            </w:pPr>
            <w:r w:rsidRPr="00857646">
              <w:rPr>
                <w:rFonts w:ascii="Verdana" w:hAnsi="Verdana"/>
                <w:sz w:val="24"/>
                <w:szCs w:val="24"/>
              </w:rPr>
              <w:t>Large store of integrated data, accumulated from a range of sources within an organisation.</w:t>
            </w:r>
          </w:p>
        </w:tc>
      </w:tr>
      <w:tr w:rsidR="00445BD7" w:rsidRPr="00857646" w14:paraId="11D41648" w14:textId="77777777" w:rsidTr="00526AA5">
        <w:tc>
          <w:tcPr>
            <w:tcW w:w="2336" w:type="dxa"/>
          </w:tcPr>
          <w:p w14:paraId="22207499" w14:textId="77777777" w:rsidR="00445BD7" w:rsidRPr="00857646" w:rsidRDefault="00445BD7" w:rsidP="00E91A93">
            <w:pPr>
              <w:rPr>
                <w:rFonts w:ascii="Verdana" w:hAnsi="Verdana"/>
                <w:sz w:val="24"/>
                <w:szCs w:val="24"/>
              </w:rPr>
            </w:pPr>
            <w:r w:rsidRPr="00857646">
              <w:rPr>
                <w:rFonts w:ascii="Verdana" w:hAnsi="Verdana"/>
                <w:color w:val="0070C0"/>
                <w:sz w:val="24"/>
                <w:szCs w:val="24"/>
              </w:rPr>
              <w:t>Database</w:t>
            </w:r>
          </w:p>
        </w:tc>
        <w:tc>
          <w:tcPr>
            <w:tcW w:w="6680" w:type="dxa"/>
          </w:tcPr>
          <w:p w14:paraId="5225DE75" w14:textId="77777777" w:rsidR="00445BD7" w:rsidRPr="00857646" w:rsidRDefault="00445BD7" w:rsidP="00E91A93">
            <w:pPr>
              <w:rPr>
                <w:rFonts w:ascii="Verdana" w:hAnsi="Verdana"/>
                <w:sz w:val="24"/>
                <w:szCs w:val="24"/>
              </w:rPr>
            </w:pPr>
            <w:r w:rsidRPr="00857646">
              <w:rPr>
                <w:rFonts w:ascii="Verdana" w:hAnsi="Verdana"/>
                <w:sz w:val="24"/>
                <w:szCs w:val="24"/>
              </w:rPr>
              <w:t xml:space="preserve">An organised collection of structured information or data. </w:t>
            </w:r>
          </w:p>
        </w:tc>
      </w:tr>
      <w:tr w:rsidR="00445BD7" w:rsidRPr="00857646" w14:paraId="3BD06B09" w14:textId="77777777" w:rsidTr="00526AA5">
        <w:tc>
          <w:tcPr>
            <w:tcW w:w="2336" w:type="dxa"/>
          </w:tcPr>
          <w:p w14:paraId="10679197" w14:textId="77777777" w:rsidR="00445BD7" w:rsidRPr="00857646" w:rsidRDefault="00445BD7" w:rsidP="00E91A93">
            <w:pPr>
              <w:rPr>
                <w:rFonts w:ascii="Verdana" w:hAnsi="Verdana"/>
                <w:sz w:val="24"/>
                <w:szCs w:val="24"/>
              </w:rPr>
            </w:pPr>
            <w:r w:rsidRPr="00857646">
              <w:rPr>
                <w:rFonts w:ascii="Verdana" w:hAnsi="Verdana"/>
                <w:color w:val="0070C0"/>
                <w:sz w:val="24"/>
                <w:szCs w:val="24"/>
              </w:rPr>
              <w:t>Dataset</w:t>
            </w:r>
          </w:p>
        </w:tc>
        <w:tc>
          <w:tcPr>
            <w:tcW w:w="6680" w:type="dxa"/>
          </w:tcPr>
          <w:p w14:paraId="704901A1" w14:textId="77777777" w:rsidR="00445BD7" w:rsidRPr="00857646" w:rsidRDefault="00445BD7" w:rsidP="00E91A93">
            <w:pPr>
              <w:rPr>
                <w:rFonts w:ascii="Verdana" w:hAnsi="Verdana"/>
                <w:sz w:val="24"/>
                <w:szCs w:val="24"/>
              </w:rPr>
            </w:pPr>
            <w:r w:rsidRPr="00857646">
              <w:rPr>
                <w:rFonts w:ascii="Verdana" w:hAnsi="Verdana"/>
                <w:sz w:val="24"/>
                <w:szCs w:val="24"/>
              </w:rPr>
              <w:t>A collection of related data or information.</w:t>
            </w:r>
          </w:p>
        </w:tc>
      </w:tr>
      <w:tr w:rsidR="00445BD7" w:rsidRPr="00857646" w14:paraId="6FA7C959" w14:textId="77777777" w:rsidTr="00526AA5">
        <w:tc>
          <w:tcPr>
            <w:tcW w:w="2336" w:type="dxa"/>
          </w:tcPr>
          <w:p w14:paraId="45A70153"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Deviation</w:t>
            </w:r>
          </w:p>
        </w:tc>
        <w:tc>
          <w:tcPr>
            <w:tcW w:w="6680" w:type="dxa"/>
          </w:tcPr>
          <w:p w14:paraId="32EAAAD0" w14:textId="77777777" w:rsidR="00445BD7" w:rsidRPr="00857646" w:rsidRDefault="00445BD7" w:rsidP="00E91A93">
            <w:pPr>
              <w:rPr>
                <w:rFonts w:ascii="Verdana" w:hAnsi="Verdana"/>
                <w:sz w:val="24"/>
                <w:szCs w:val="24"/>
              </w:rPr>
            </w:pPr>
            <w:r w:rsidRPr="00857646">
              <w:rPr>
                <w:rFonts w:ascii="Verdana" w:hAnsi="Verdana"/>
                <w:sz w:val="24"/>
                <w:szCs w:val="24"/>
              </w:rPr>
              <w:t>The amount by which a single measurement differs from a fixed value.</w:t>
            </w:r>
          </w:p>
        </w:tc>
      </w:tr>
      <w:tr w:rsidR="00445BD7" w:rsidRPr="00857646" w14:paraId="1BE1BDE3" w14:textId="77777777" w:rsidTr="00526AA5">
        <w:tc>
          <w:tcPr>
            <w:tcW w:w="2336" w:type="dxa"/>
          </w:tcPr>
          <w:p w14:paraId="12E448BB"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Encryption</w:t>
            </w:r>
          </w:p>
        </w:tc>
        <w:tc>
          <w:tcPr>
            <w:tcW w:w="6680" w:type="dxa"/>
          </w:tcPr>
          <w:p w14:paraId="5AC6E8E7" w14:textId="77777777" w:rsidR="00445BD7" w:rsidRPr="00857646" w:rsidRDefault="00445BD7" w:rsidP="00E91A93">
            <w:pPr>
              <w:rPr>
                <w:rFonts w:ascii="Verdana" w:hAnsi="Verdana"/>
                <w:sz w:val="24"/>
                <w:szCs w:val="24"/>
              </w:rPr>
            </w:pPr>
            <w:r w:rsidRPr="00857646">
              <w:rPr>
                <w:rFonts w:ascii="Verdana" w:hAnsi="Verdana"/>
                <w:sz w:val="24"/>
                <w:szCs w:val="24"/>
              </w:rPr>
              <w:t>The process of encoding to translate data into a different form or code. Protecting the data so that only an authorised person can access via decryption or password access.</w:t>
            </w:r>
          </w:p>
        </w:tc>
      </w:tr>
      <w:tr w:rsidR="00445BD7" w:rsidRPr="00857646" w14:paraId="11D7B553" w14:textId="77777777" w:rsidTr="00526AA5">
        <w:tc>
          <w:tcPr>
            <w:tcW w:w="2336" w:type="dxa"/>
            <w:hideMark/>
          </w:tcPr>
          <w:p w14:paraId="3E3E6A62" w14:textId="77777777" w:rsidR="00445BD7" w:rsidRPr="00857646" w:rsidRDefault="00445BD7" w:rsidP="00526AA5">
            <w:pPr>
              <w:rPr>
                <w:rFonts w:ascii="Verdana" w:hAnsi="Verdana"/>
              </w:rPr>
            </w:pPr>
            <w:r w:rsidRPr="00857646">
              <w:rPr>
                <w:rFonts w:ascii="Verdana" w:hAnsi="Verdana"/>
                <w:color w:val="0070C0"/>
                <w:sz w:val="24"/>
                <w:szCs w:val="24"/>
              </w:rPr>
              <w:t>GDPR</w:t>
            </w:r>
          </w:p>
        </w:tc>
        <w:tc>
          <w:tcPr>
            <w:tcW w:w="6680" w:type="dxa"/>
            <w:hideMark/>
          </w:tcPr>
          <w:p w14:paraId="7B83FEED" w14:textId="77777777" w:rsidR="00445BD7" w:rsidRPr="00857646" w:rsidRDefault="00445BD7" w:rsidP="00526AA5">
            <w:pPr>
              <w:rPr>
                <w:rFonts w:ascii="Verdana" w:hAnsi="Verdana"/>
              </w:rPr>
            </w:pPr>
            <w:r w:rsidRPr="00857646">
              <w:rPr>
                <w:rFonts w:ascii="Verdana" w:hAnsi="Verdana"/>
                <w:sz w:val="24"/>
                <w:szCs w:val="24"/>
              </w:rPr>
              <w:t>General Data Protection Act (2018). Even with Brexit, the GDPR is still relevant and needs to be read in conjunction with the UK Data Protection Act (2018).</w:t>
            </w:r>
          </w:p>
        </w:tc>
      </w:tr>
      <w:tr w:rsidR="00445BD7" w:rsidRPr="00857646" w14:paraId="71B60838" w14:textId="77777777" w:rsidTr="00526AA5">
        <w:tc>
          <w:tcPr>
            <w:tcW w:w="2336" w:type="dxa"/>
          </w:tcPr>
          <w:p w14:paraId="1B53E1EF"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General Data Protection Regulation (GDPR)</w:t>
            </w:r>
          </w:p>
        </w:tc>
        <w:tc>
          <w:tcPr>
            <w:tcW w:w="6680" w:type="dxa"/>
          </w:tcPr>
          <w:p w14:paraId="7C0F4AD0" w14:textId="77777777" w:rsidR="00445BD7" w:rsidRPr="00857646" w:rsidRDefault="00445BD7" w:rsidP="00E91A93">
            <w:pPr>
              <w:rPr>
                <w:rFonts w:ascii="Verdana" w:hAnsi="Verdana"/>
                <w:sz w:val="24"/>
                <w:szCs w:val="24"/>
              </w:rPr>
            </w:pPr>
            <w:r w:rsidRPr="00857646">
              <w:rPr>
                <w:rFonts w:ascii="Verdana" w:hAnsi="Verdana"/>
                <w:sz w:val="24"/>
                <w:szCs w:val="24"/>
              </w:rPr>
              <w:t>The GDPR form part of European Union (EU) law that came into effect on 25th May 2018. GDPR governs the way in which we can use, process, and store personal data (information about an identifiable, living person).</w:t>
            </w:r>
          </w:p>
        </w:tc>
      </w:tr>
      <w:tr w:rsidR="00445BD7" w:rsidRPr="00857646" w14:paraId="4C42BB42" w14:textId="77777777" w:rsidTr="00526AA5">
        <w:tc>
          <w:tcPr>
            <w:tcW w:w="2336" w:type="dxa"/>
          </w:tcPr>
          <w:p w14:paraId="6F663384"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Governance</w:t>
            </w:r>
          </w:p>
        </w:tc>
        <w:tc>
          <w:tcPr>
            <w:tcW w:w="6680" w:type="dxa"/>
          </w:tcPr>
          <w:p w14:paraId="3ED353CD" w14:textId="77777777" w:rsidR="00445BD7" w:rsidRPr="00857646" w:rsidRDefault="00445BD7" w:rsidP="00E91A93">
            <w:pPr>
              <w:rPr>
                <w:rFonts w:ascii="Verdana" w:hAnsi="Verdana"/>
                <w:sz w:val="24"/>
                <w:szCs w:val="24"/>
              </w:rPr>
            </w:pPr>
            <w:r w:rsidRPr="00857646">
              <w:rPr>
                <w:rFonts w:ascii="Verdana" w:hAnsi="Verdana"/>
                <w:sz w:val="24"/>
                <w:szCs w:val="24"/>
              </w:rPr>
              <w:t>This is an established system to control how an organisation operates and the mechanisms by which its employees are held to account. Encompassing risk management, compliance, administration, and ethics.</w:t>
            </w:r>
          </w:p>
        </w:tc>
      </w:tr>
      <w:tr w:rsidR="00445BD7" w:rsidRPr="00857646" w14:paraId="46F17F6F" w14:textId="77777777" w:rsidTr="00526AA5">
        <w:tc>
          <w:tcPr>
            <w:tcW w:w="2336" w:type="dxa"/>
          </w:tcPr>
          <w:p w14:paraId="3716C05F"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Hypothesis</w:t>
            </w:r>
          </w:p>
        </w:tc>
        <w:tc>
          <w:tcPr>
            <w:tcW w:w="6680" w:type="dxa"/>
          </w:tcPr>
          <w:p w14:paraId="7EDEDDD7" w14:textId="77777777" w:rsidR="00445BD7" w:rsidRPr="00857646" w:rsidRDefault="00445BD7" w:rsidP="00E91A93">
            <w:pPr>
              <w:rPr>
                <w:rFonts w:ascii="Verdana" w:hAnsi="Verdana"/>
                <w:sz w:val="24"/>
                <w:szCs w:val="24"/>
              </w:rPr>
            </w:pPr>
            <w:r w:rsidRPr="00857646">
              <w:rPr>
                <w:rFonts w:ascii="Verdana" w:hAnsi="Verdana"/>
                <w:sz w:val="24"/>
                <w:szCs w:val="24"/>
              </w:rPr>
              <w:t>A proposed explanation based on limited evidence.</w:t>
            </w:r>
          </w:p>
        </w:tc>
      </w:tr>
      <w:tr w:rsidR="00445BD7" w:rsidRPr="00857646" w14:paraId="382078DB" w14:textId="77777777" w:rsidTr="00526AA5">
        <w:tc>
          <w:tcPr>
            <w:tcW w:w="2336" w:type="dxa"/>
          </w:tcPr>
          <w:p w14:paraId="39B2A8C1"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Inference</w:t>
            </w:r>
          </w:p>
        </w:tc>
        <w:tc>
          <w:tcPr>
            <w:tcW w:w="6680" w:type="dxa"/>
          </w:tcPr>
          <w:p w14:paraId="1600CF61" w14:textId="77777777" w:rsidR="00445BD7" w:rsidRPr="00857646" w:rsidRDefault="00445BD7" w:rsidP="00E91A93">
            <w:pPr>
              <w:rPr>
                <w:rFonts w:ascii="Verdana" w:hAnsi="Verdana"/>
                <w:sz w:val="24"/>
                <w:szCs w:val="24"/>
              </w:rPr>
            </w:pPr>
            <w:r w:rsidRPr="00857646">
              <w:rPr>
                <w:rFonts w:ascii="Verdana" w:hAnsi="Verdana"/>
                <w:sz w:val="24"/>
                <w:szCs w:val="24"/>
              </w:rPr>
              <w:t xml:space="preserve">A conclusion reached based on evidence or reasoning. </w:t>
            </w:r>
          </w:p>
        </w:tc>
      </w:tr>
      <w:tr w:rsidR="00445BD7" w:rsidRPr="00857646" w14:paraId="00499AEB" w14:textId="77777777" w:rsidTr="00526AA5">
        <w:tc>
          <w:tcPr>
            <w:tcW w:w="2336" w:type="dxa"/>
            <w:hideMark/>
          </w:tcPr>
          <w:p w14:paraId="50C94160" w14:textId="77777777" w:rsidR="00445BD7" w:rsidRPr="00857646" w:rsidRDefault="00445BD7" w:rsidP="00526AA5">
            <w:pPr>
              <w:rPr>
                <w:rFonts w:ascii="Verdana" w:hAnsi="Verdana"/>
              </w:rPr>
            </w:pPr>
            <w:r w:rsidRPr="00857646">
              <w:rPr>
                <w:rFonts w:ascii="Verdana" w:hAnsi="Verdana"/>
                <w:color w:val="0070C0"/>
                <w:sz w:val="24"/>
                <w:szCs w:val="24"/>
              </w:rPr>
              <w:t xml:space="preserve">Information </w:t>
            </w:r>
          </w:p>
        </w:tc>
        <w:tc>
          <w:tcPr>
            <w:tcW w:w="6680" w:type="dxa"/>
            <w:hideMark/>
          </w:tcPr>
          <w:p w14:paraId="53DDD538" w14:textId="77777777" w:rsidR="00445BD7" w:rsidRPr="00857646" w:rsidRDefault="00445BD7" w:rsidP="00526AA5">
            <w:pPr>
              <w:rPr>
                <w:rFonts w:ascii="Verdana" w:hAnsi="Verdana"/>
                <w:sz w:val="24"/>
                <w:szCs w:val="24"/>
              </w:rPr>
            </w:pPr>
            <w:r w:rsidRPr="00857646">
              <w:rPr>
                <w:rFonts w:ascii="Verdana" w:hAnsi="Verdana"/>
                <w:sz w:val="24"/>
                <w:szCs w:val="24"/>
              </w:rPr>
              <w:t>Information is something in written form – digital or paper - which is understandable. This can be made up from different building blocks of data.</w:t>
            </w:r>
          </w:p>
        </w:tc>
      </w:tr>
      <w:tr w:rsidR="00445BD7" w:rsidRPr="00857646" w14:paraId="69675CDB" w14:textId="77777777" w:rsidTr="00526AA5">
        <w:tc>
          <w:tcPr>
            <w:tcW w:w="2336" w:type="dxa"/>
          </w:tcPr>
          <w:p w14:paraId="22C8C71F"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Information Governance (IG)</w:t>
            </w:r>
          </w:p>
        </w:tc>
        <w:tc>
          <w:tcPr>
            <w:tcW w:w="6680" w:type="dxa"/>
          </w:tcPr>
          <w:p w14:paraId="0B8BA803" w14:textId="77777777" w:rsidR="00445BD7" w:rsidRPr="00857646" w:rsidRDefault="00445BD7" w:rsidP="00E91A93">
            <w:pPr>
              <w:rPr>
                <w:rFonts w:ascii="Verdana" w:hAnsi="Verdana"/>
                <w:sz w:val="24"/>
                <w:szCs w:val="24"/>
              </w:rPr>
            </w:pPr>
            <w:r w:rsidRPr="00857646">
              <w:rPr>
                <w:rFonts w:ascii="Verdana" w:hAnsi="Verdana"/>
                <w:sz w:val="24"/>
                <w:szCs w:val="24"/>
              </w:rPr>
              <w:t>Information Governance (IG) is the framework for handling information in a secure and confidential manner. Allowing organisations to manage data securely.</w:t>
            </w:r>
          </w:p>
          <w:p w14:paraId="07B9425A" w14:textId="77777777" w:rsidR="00445BD7" w:rsidRPr="00857646" w:rsidRDefault="00445BD7" w:rsidP="00E91A93">
            <w:pPr>
              <w:rPr>
                <w:rFonts w:ascii="Verdana" w:hAnsi="Verdana"/>
                <w:sz w:val="24"/>
                <w:szCs w:val="24"/>
              </w:rPr>
            </w:pPr>
          </w:p>
          <w:p w14:paraId="69332034" w14:textId="77777777" w:rsidR="00445BD7" w:rsidRPr="00857646" w:rsidRDefault="00445BD7" w:rsidP="00E91A93">
            <w:pPr>
              <w:rPr>
                <w:rFonts w:ascii="Verdana" w:hAnsi="Verdana"/>
                <w:sz w:val="24"/>
                <w:szCs w:val="24"/>
              </w:rPr>
            </w:pPr>
            <w:r w:rsidRPr="00857646">
              <w:rPr>
                <w:rFonts w:ascii="Verdana" w:hAnsi="Verdana"/>
                <w:sz w:val="24"/>
                <w:szCs w:val="24"/>
              </w:rPr>
              <w:t>Determining legal and regulatory compliance for information storage, use, sharing and disposal.</w:t>
            </w:r>
          </w:p>
        </w:tc>
      </w:tr>
      <w:tr w:rsidR="00445BD7" w:rsidRPr="00857646" w14:paraId="0D798D56" w14:textId="77777777" w:rsidTr="00526AA5">
        <w:tc>
          <w:tcPr>
            <w:tcW w:w="2336" w:type="dxa"/>
          </w:tcPr>
          <w:p w14:paraId="3D6221F7"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Information Sharing Agreement (ISA) / Data Sharing Agreement (DSA)</w:t>
            </w:r>
          </w:p>
        </w:tc>
        <w:tc>
          <w:tcPr>
            <w:tcW w:w="6680" w:type="dxa"/>
          </w:tcPr>
          <w:p w14:paraId="78BDC37D" w14:textId="77777777" w:rsidR="00445BD7" w:rsidRPr="00857646" w:rsidRDefault="00445BD7" w:rsidP="00E91A93">
            <w:pPr>
              <w:rPr>
                <w:rFonts w:ascii="Verdana" w:hAnsi="Verdana"/>
                <w:sz w:val="24"/>
                <w:szCs w:val="24"/>
              </w:rPr>
            </w:pPr>
            <w:r w:rsidRPr="00857646">
              <w:rPr>
                <w:rFonts w:ascii="Verdana" w:hAnsi="Verdana"/>
                <w:sz w:val="24"/>
                <w:szCs w:val="24"/>
              </w:rPr>
              <w:t>An Information Sharing Agreement (ISA)/Data Sharing Agreement (DSA) identifies the lawful basis for the use and sharing of personal information, and the extent and nature of the personal information to be shared.</w:t>
            </w:r>
          </w:p>
          <w:p w14:paraId="23018C8C" w14:textId="77777777" w:rsidR="00445BD7" w:rsidRPr="00857646" w:rsidRDefault="00445BD7" w:rsidP="00E91A93">
            <w:pPr>
              <w:rPr>
                <w:rFonts w:ascii="Verdana" w:hAnsi="Verdana"/>
                <w:sz w:val="24"/>
                <w:szCs w:val="24"/>
              </w:rPr>
            </w:pPr>
          </w:p>
        </w:tc>
      </w:tr>
      <w:tr w:rsidR="00445BD7" w:rsidRPr="00857646" w14:paraId="1E6EA765" w14:textId="77777777" w:rsidTr="00526AA5">
        <w:tc>
          <w:tcPr>
            <w:tcW w:w="2336" w:type="dxa"/>
          </w:tcPr>
          <w:p w14:paraId="0B2FD1BF"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lastRenderedPageBreak/>
              <w:t>Mean</w:t>
            </w:r>
          </w:p>
        </w:tc>
        <w:tc>
          <w:tcPr>
            <w:tcW w:w="6680" w:type="dxa"/>
          </w:tcPr>
          <w:p w14:paraId="448E3406" w14:textId="77777777" w:rsidR="00445BD7" w:rsidRPr="00857646" w:rsidRDefault="00445BD7" w:rsidP="00E91A93">
            <w:pPr>
              <w:rPr>
                <w:rFonts w:ascii="Verdana" w:hAnsi="Verdana"/>
                <w:sz w:val="24"/>
                <w:szCs w:val="24"/>
              </w:rPr>
            </w:pPr>
            <w:r w:rsidRPr="00857646">
              <w:rPr>
                <w:rFonts w:ascii="Verdana" w:hAnsi="Verdana"/>
                <w:sz w:val="24"/>
                <w:szCs w:val="24"/>
              </w:rPr>
              <w:t>The average value of a set of numbers.</w:t>
            </w:r>
          </w:p>
        </w:tc>
      </w:tr>
      <w:tr w:rsidR="00445BD7" w:rsidRPr="00857646" w14:paraId="5F0370D2" w14:textId="77777777" w:rsidTr="00526AA5">
        <w:tc>
          <w:tcPr>
            <w:tcW w:w="2336" w:type="dxa"/>
          </w:tcPr>
          <w:p w14:paraId="16187FAC"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Median</w:t>
            </w:r>
          </w:p>
        </w:tc>
        <w:tc>
          <w:tcPr>
            <w:tcW w:w="6680" w:type="dxa"/>
          </w:tcPr>
          <w:p w14:paraId="44E6A2E1" w14:textId="77777777" w:rsidR="00445BD7" w:rsidRPr="00857646" w:rsidRDefault="00445BD7" w:rsidP="00E91A93">
            <w:pPr>
              <w:rPr>
                <w:rFonts w:ascii="Verdana" w:hAnsi="Verdana"/>
                <w:sz w:val="24"/>
                <w:szCs w:val="24"/>
              </w:rPr>
            </w:pPr>
            <w:r w:rsidRPr="00857646">
              <w:rPr>
                <w:rFonts w:ascii="Verdana" w:hAnsi="Verdana"/>
                <w:sz w:val="24"/>
                <w:szCs w:val="24"/>
              </w:rPr>
              <w:t>The middle value of a dataset organised from highest to lowest.</w:t>
            </w:r>
          </w:p>
        </w:tc>
      </w:tr>
      <w:tr w:rsidR="00445BD7" w:rsidRPr="00857646" w14:paraId="5F23E3AF" w14:textId="77777777" w:rsidTr="00526AA5">
        <w:tc>
          <w:tcPr>
            <w:tcW w:w="2336" w:type="dxa"/>
            <w:hideMark/>
          </w:tcPr>
          <w:p w14:paraId="220C1563" w14:textId="77777777" w:rsidR="00445BD7" w:rsidRPr="00857646" w:rsidRDefault="00445BD7" w:rsidP="00526AA5">
            <w:pPr>
              <w:rPr>
                <w:rFonts w:ascii="Verdana" w:hAnsi="Verdana"/>
              </w:rPr>
            </w:pPr>
            <w:r w:rsidRPr="00857646">
              <w:rPr>
                <w:rFonts w:ascii="Verdana" w:hAnsi="Verdana"/>
                <w:color w:val="0070C0"/>
                <w:sz w:val="24"/>
                <w:szCs w:val="24"/>
              </w:rPr>
              <w:t>Metadata</w:t>
            </w:r>
          </w:p>
        </w:tc>
        <w:tc>
          <w:tcPr>
            <w:tcW w:w="6680" w:type="dxa"/>
            <w:hideMark/>
          </w:tcPr>
          <w:p w14:paraId="449D3C6C" w14:textId="77777777" w:rsidR="00445BD7" w:rsidRPr="00857646" w:rsidRDefault="00445BD7" w:rsidP="00526AA5">
            <w:pPr>
              <w:rPr>
                <w:rFonts w:ascii="Verdana" w:hAnsi="Verdana"/>
                <w:sz w:val="24"/>
                <w:szCs w:val="24"/>
              </w:rPr>
            </w:pPr>
            <w:r w:rsidRPr="00857646">
              <w:rPr>
                <w:rFonts w:ascii="Verdana" w:hAnsi="Verdana"/>
                <w:sz w:val="24"/>
                <w:szCs w:val="24"/>
              </w:rPr>
              <w:t xml:space="preserve">This simply means ‘data about data’. When data is captured and stored by an IT system there is often other data which contains things like date, when modified, when deleted, name of creator etc. </w:t>
            </w:r>
          </w:p>
        </w:tc>
      </w:tr>
      <w:tr w:rsidR="00445BD7" w:rsidRPr="00857646" w14:paraId="36215483" w14:textId="77777777" w:rsidTr="00526AA5">
        <w:tc>
          <w:tcPr>
            <w:tcW w:w="2336" w:type="dxa"/>
          </w:tcPr>
          <w:p w14:paraId="7EE2925A"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Mode</w:t>
            </w:r>
          </w:p>
        </w:tc>
        <w:tc>
          <w:tcPr>
            <w:tcW w:w="6680" w:type="dxa"/>
          </w:tcPr>
          <w:p w14:paraId="55158878" w14:textId="77777777" w:rsidR="00445BD7" w:rsidRPr="00857646" w:rsidRDefault="00445BD7" w:rsidP="00E91A93">
            <w:pPr>
              <w:rPr>
                <w:rFonts w:ascii="Verdana" w:hAnsi="Verdana"/>
                <w:sz w:val="24"/>
                <w:szCs w:val="24"/>
              </w:rPr>
            </w:pPr>
            <w:r w:rsidRPr="00857646">
              <w:rPr>
                <w:rFonts w:ascii="Verdana" w:hAnsi="Verdana"/>
                <w:sz w:val="24"/>
                <w:szCs w:val="24"/>
              </w:rPr>
              <w:t>The most frequently occurring value in a dataset.</w:t>
            </w:r>
          </w:p>
        </w:tc>
      </w:tr>
      <w:tr w:rsidR="00445BD7" w:rsidRPr="00857646" w14:paraId="2B1FA539" w14:textId="77777777" w:rsidTr="00526AA5">
        <w:tc>
          <w:tcPr>
            <w:tcW w:w="2336" w:type="dxa"/>
          </w:tcPr>
          <w:p w14:paraId="37B3F52A" w14:textId="77777777" w:rsidR="00445BD7" w:rsidRPr="00857646" w:rsidRDefault="00445BD7" w:rsidP="00E91A93">
            <w:pPr>
              <w:rPr>
                <w:rFonts w:ascii="Verdana" w:hAnsi="Verdana"/>
                <w:sz w:val="24"/>
                <w:szCs w:val="24"/>
              </w:rPr>
            </w:pPr>
            <w:r w:rsidRPr="00857646">
              <w:rPr>
                <w:rFonts w:ascii="Verdana" w:hAnsi="Verdana"/>
                <w:color w:val="0070C0"/>
                <w:sz w:val="24"/>
                <w:szCs w:val="24"/>
              </w:rPr>
              <w:t>Outlier</w:t>
            </w:r>
          </w:p>
        </w:tc>
        <w:tc>
          <w:tcPr>
            <w:tcW w:w="6680" w:type="dxa"/>
          </w:tcPr>
          <w:p w14:paraId="0DD1225B" w14:textId="77777777" w:rsidR="00445BD7" w:rsidRPr="00857646" w:rsidRDefault="00445BD7" w:rsidP="00E91A93">
            <w:pPr>
              <w:rPr>
                <w:rFonts w:ascii="Verdana" w:hAnsi="Verdana"/>
                <w:sz w:val="24"/>
                <w:szCs w:val="24"/>
              </w:rPr>
            </w:pPr>
            <w:r w:rsidRPr="00857646">
              <w:rPr>
                <w:rFonts w:ascii="Verdana" w:hAnsi="Verdana"/>
                <w:sz w:val="24"/>
                <w:szCs w:val="24"/>
              </w:rPr>
              <w:t>Information or value that differs significantly from the dataset it is part of.</w:t>
            </w:r>
          </w:p>
        </w:tc>
      </w:tr>
      <w:tr w:rsidR="00445BD7" w:rsidRPr="00857646" w14:paraId="6A9E67CE" w14:textId="77777777" w:rsidTr="00526AA5">
        <w:tc>
          <w:tcPr>
            <w:tcW w:w="2336" w:type="dxa"/>
            <w:hideMark/>
          </w:tcPr>
          <w:p w14:paraId="78123CF7" w14:textId="77777777" w:rsidR="00445BD7" w:rsidRPr="00857646" w:rsidRDefault="00445BD7" w:rsidP="00526AA5">
            <w:pPr>
              <w:rPr>
                <w:rFonts w:ascii="Verdana" w:hAnsi="Verdana"/>
              </w:rPr>
            </w:pPr>
            <w:r w:rsidRPr="00857646">
              <w:rPr>
                <w:rFonts w:ascii="Verdana" w:hAnsi="Verdana"/>
                <w:color w:val="0070C0"/>
                <w:sz w:val="24"/>
                <w:szCs w:val="24"/>
              </w:rPr>
              <w:t>Positive Patient Identification (PPI)</w:t>
            </w:r>
          </w:p>
        </w:tc>
        <w:tc>
          <w:tcPr>
            <w:tcW w:w="6680" w:type="dxa"/>
            <w:hideMark/>
          </w:tcPr>
          <w:p w14:paraId="6EB9D7F3" w14:textId="77777777" w:rsidR="00445BD7" w:rsidRPr="00857646" w:rsidRDefault="00445BD7" w:rsidP="00526AA5">
            <w:pPr>
              <w:rPr>
                <w:rFonts w:ascii="Verdana" w:hAnsi="Verdana"/>
                <w:sz w:val="24"/>
                <w:szCs w:val="24"/>
              </w:rPr>
            </w:pPr>
            <w:r w:rsidRPr="00857646">
              <w:rPr>
                <w:rFonts w:ascii="Verdana" w:hAnsi="Verdana"/>
                <w:sz w:val="24"/>
                <w:szCs w:val="24"/>
              </w:rPr>
              <w:t>This describes the process where there is a very high level of assurance that the data/information does relate to the person who is being cared for.</w:t>
            </w:r>
          </w:p>
        </w:tc>
      </w:tr>
      <w:tr w:rsidR="00445BD7" w:rsidRPr="00857646" w14:paraId="60294899" w14:textId="77777777" w:rsidTr="00526AA5">
        <w:tc>
          <w:tcPr>
            <w:tcW w:w="2336" w:type="dxa"/>
            <w:hideMark/>
          </w:tcPr>
          <w:p w14:paraId="5A0144A4" w14:textId="77777777" w:rsidR="00445BD7" w:rsidRPr="00857646" w:rsidRDefault="00445BD7" w:rsidP="00526AA5">
            <w:pPr>
              <w:rPr>
                <w:rFonts w:ascii="Verdana" w:hAnsi="Verdana"/>
              </w:rPr>
            </w:pPr>
            <w:r w:rsidRPr="00857646">
              <w:rPr>
                <w:rFonts w:ascii="Verdana" w:hAnsi="Verdana"/>
                <w:color w:val="0070C0"/>
                <w:sz w:val="24"/>
                <w:szCs w:val="24"/>
              </w:rPr>
              <w:t>Privacy by Design</w:t>
            </w:r>
          </w:p>
        </w:tc>
        <w:tc>
          <w:tcPr>
            <w:tcW w:w="6680" w:type="dxa"/>
            <w:hideMark/>
          </w:tcPr>
          <w:p w14:paraId="7DB33C9D" w14:textId="77777777" w:rsidR="00445BD7" w:rsidRPr="00857646" w:rsidRDefault="00445BD7" w:rsidP="00526AA5">
            <w:pPr>
              <w:rPr>
                <w:rFonts w:ascii="Verdana" w:hAnsi="Verdana"/>
                <w:sz w:val="24"/>
                <w:szCs w:val="24"/>
              </w:rPr>
            </w:pPr>
            <w:r w:rsidRPr="00857646">
              <w:rPr>
                <w:rFonts w:ascii="Verdana" w:hAnsi="Verdana"/>
                <w:sz w:val="24"/>
                <w:szCs w:val="24"/>
              </w:rPr>
              <w:t>This is a term from GDPR which describes how all aspects of data protection compliance, privacy and security should be considered, risk assessed and ‘baked into’ the design (rather than trying to retrofit at a later stage).</w:t>
            </w:r>
          </w:p>
        </w:tc>
      </w:tr>
      <w:tr w:rsidR="00445BD7" w:rsidRPr="00857646" w14:paraId="113C70E4" w14:textId="77777777" w:rsidTr="00526AA5">
        <w:tc>
          <w:tcPr>
            <w:tcW w:w="2336" w:type="dxa"/>
            <w:hideMark/>
          </w:tcPr>
          <w:p w14:paraId="2AD2EF46" w14:textId="77777777" w:rsidR="00445BD7" w:rsidRPr="00857646" w:rsidRDefault="00445BD7" w:rsidP="00526AA5">
            <w:pPr>
              <w:rPr>
                <w:rFonts w:ascii="Verdana" w:hAnsi="Verdana"/>
              </w:rPr>
            </w:pPr>
            <w:r w:rsidRPr="00857646">
              <w:rPr>
                <w:rFonts w:ascii="Verdana" w:hAnsi="Verdana"/>
                <w:color w:val="0070C0"/>
                <w:sz w:val="24"/>
                <w:szCs w:val="24"/>
              </w:rPr>
              <w:t>Privacy Notice</w:t>
            </w:r>
          </w:p>
        </w:tc>
        <w:tc>
          <w:tcPr>
            <w:tcW w:w="6680" w:type="dxa"/>
            <w:hideMark/>
          </w:tcPr>
          <w:p w14:paraId="79321429" w14:textId="77777777" w:rsidR="00445BD7" w:rsidRPr="00857646" w:rsidRDefault="00445BD7" w:rsidP="00526AA5">
            <w:pPr>
              <w:rPr>
                <w:rFonts w:ascii="Verdana" w:hAnsi="Verdana"/>
                <w:sz w:val="24"/>
                <w:szCs w:val="24"/>
              </w:rPr>
            </w:pPr>
            <w:r w:rsidRPr="00857646">
              <w:rPr>
                <w:rFonts w:ascii="Verdana" w:hAnsi="Verdana"/>
                <w:sz w:val="24"/>
                <w:szCs w:val="24"/>
              </w:rPr>
              <w:t>One of the key tenets of data protection law is transparency. One of the ways in which an organisation explains to its customers (data subjects) what personal data is collected, for what purposes and whether it is shared etc is via a privacy notice. This can be on a website, leaflet or other medium. Note: a privacy notice is only one tool, and transparency needs to be woven into every aspect of data processing.</w:t>
            </w:r>
          </w:p>
        </w:tc>
      </w:tr>
      <w:tr w:rsidR="00445BD7" w:rsidRPr="00857646" w14:paraId="6F58D010" w14:textId="77777777" w:rsidTr="00526AA5">
        <w:tc>
          <w:tcPr>
            <w:tcW w:w="2336" w:type="dxa"/>
          </w:tcPr>
          <w:p w14:paraId="56C3A861" w14:textId="77777777" w:rsidR="00445BD7" w:rsidRPr="00857646" w:rsidRDefault="00445BD7" w:rsidP="00E91A93">
            <w:pPr>
              <w:rPr>
                <w:rFonts w:ascii="Verdana" w:hAnsi="Verdana"/>
                <w:sz w:val="24"/>
                <w:szCs w:val="24"/>
              </w:rPr>
            </w:pPr>
            <w:r w:rsidRPr="00857646">
              <w:rPr>
                <w:rFonts w:ascii="Verdana" w:hAnsi="Verdana"/>
                <w:color w:val="0070C0"/>
                <w:sz w:val="24"/>
                <w:szCs w:val="24"/>
              </w:rPr>
              <w:t>Pseudonymisation</w:t>
            </w:r>
          </w:p>
        </w:tc>
        <w:tc>
          <w:tcPr>
            <w:tcW w:w="6680" w:type="dxa"/>
          </w:tcPr>
          <w:p w14:paraId="2B1F6B01" w14:textId="77777777" w:rsidR="00445BD7" w:rsidRPr="00857646" w:rsidRDefault="00445BD7" w:rsidP="00E91A93">
            <w:pPr>
              <w:rPr>
                <w:rFonts w:ascii="Verdana" w:hAnsi="Verdana"/>
                <w:sz w:val="24"/>
                <w:szCs w:val="24"/>
              </w:rPr>
            </w:pPr>
            <w:r w:rsidRPr="00857646">
              <w:rPr>
                <w:rFonts w:ascii="Verdana" w:hAnsi="Verdana"/>
                <w:sz w:val="24"/>
                <w:szCs w:val="24"/>
              </w:rPr>
              <w:t xml:space="preserve">The process of replacing identifiable information with artificial identifiers or pseudonyms to protect privacy whilst still allowing for data analysis. </w:t>
            </w:r>
          </w:p>
        </w:tc>
      </w:tr>
      <w:tr w:rsidR="00445BD7" w:rsidRPr="00857646" w14:paraId="3EEEEEA8" w14:textId="77777777" w:rsidTr="00526AA5">
        <w:tc>
          <w:tcPr>
            <w:tcW w:w="2336" w:type="dxa"/>
          </w:tcPr>
          <w:p w14:paraId="3D32F9B0" w14:textId="77777777" w:rsidR="00445BD7" w:rsidRPr="00857646" w:rsidRDefault="00445BD7" w:rsidP="00E91A93">
            <w:pPr>
              <w:rPr>
                <w:rFonts w:ascii="Verdana" w:hAnsi="Verdana"/>
                <w:sz w:val="24"/>
                <w:szCs w:val="24"/>
              </w:rPr>
            </w:pPr>
            <w:r w:rsidRPr="00857646">
              <w:rPr>
                <w:rFonts w:ascii="Verdana" w:hAnsi="Verdana"/>
                <w:color w:val="0070C0"/>
                <w:sz w:val="24"/>
                <w:szCs w:val="24"/>
              </w:rPr>
              <w:t>Qualitative Data</w:t>
            </w:r>
          </w:p>
        </w:tc>
        <w:tc>
          <w:tcPr>
            <w:tcW w:w="6680" w:type="dxa"/>
          </w:tcPr>
          <w:p w14:paraId="67A1A2C9" w14:textId="77777777" w:rsidR="00445BD7" w:rsidRPr="00857646" w:rsidRDefault="00445BD7" w:rsidP="00E91A93">
            <w:pPr>
              <w:rPr>
                <w:rFonts w:ascii="Verdana" w:hAnsi="Verdana"/>
                <w:sz w:val="24"/>
                <w:szCs w:val="24"/>
              </w:rPr>
            </w:pPr>
            <w:r w:rsidRPr="00857646">
              <w:rPr>
                <w:rFonts w:ascii="Verdana" w:hAnsi="Verdana"/>
                <w:sz w:val="24"/>
                <w:szCs w:val="24"/>
              </w:rPr>
              <w:t>Data that represents information and concepts that are not represented by numbers.</w:t>
            </w:r>
          </w:p>
        </w:tc>
      </w:tr>
      <w:tr w:rsidR="00445BD7" w:rsidRPr="00857646" w14:paraId="087F7521" w14:textId="77777777" w:rsidTr="00526AA5">
        <w:tc>
          <w:tcPr>
            <w:tcW w:w="2336" w:type="dxa"/>
          </w:tcPr>
          <w:p w14:paraId="6F46839C" w14:textId="77777777" w:rsidR="00445BD7" w:rsidRPr="00857646" w:rsidRDefault="00445BD7" w:rsidP="00E91A93">
            <w:pPr>
              <w:rPr>
                <w:rFonts w:ascii="Verdana" w:hAnsi="Verdana"/>
                <w:sz w:val="24"/>
                <w:szCs w:val="24"/>
              </w:rPr>
            </w:pPr>
            <w:r w:rsidRPr="00857646">
              <w:rPr>
                <w:rFonts w:ascii="Verdana" w:hAnsi="Verdana"/>
                <w:color w:val="0070C0"/>
                <w:sz w:val="24"/>
                <w:szCs w:val="24"/>
              </w:rPr>
              <w:t>Quantitative Data</w:t>
            </w:r>
          </w:p>
        </w:tc>
        <w:tc>
          <w:tcPr>
            <w:tcW w:w="6680" w:type="dxa"/>
          </w:tcPr>
          <w:p w14:paraId="7F33FD0A" w14:textId="77777777" w:rsidR="00445BD7" w:rsidRPr="00857646" w:rsidRDefault="00445BD7" w:rsidP="00E91A93">
            <w:pPr>
              <w:rPr>
                <w:rFonts w:ascii="Verdana" w:hAnsi="Verdana"/>
                <w:sz w:val="24"/>
                <w:szCs w:val="24"/>
              </w:rPr>
            </w:pPr>
            <w:r w:rsidRPr="00857646">
              <w:rPr>
                <w:rFonts w:ascii="Verdana" w:hAnsi="Verdana"/>
                <w:sz w:val="24"/>
                <w:szCs w:val="24"/>
              </w:rPr>
              <w:t>Data in a number format, any data that can be counted, measured or shown as a number.</w:t>
            </w:r>
          </w:p>
        </w:tc>
      </w:tr>
      <w:tr w:rsidR="00445BD7" w:rsidRPr="00857646" w14:paraId="061D42EE" w14:textId="77777777" w:rsidTr="00526AA5">
        <w:tc>
          <w:tcPr>
            <w:tcW w:w="2336" w:type="dxa"/>
            <w:hideMark/>
          </w:tcPr>
          <w:p w14:paraId="1CBD1648" w14:textId="77777777" w:rsidR="00445BD7" w:rsidRPr="00857646" w:rsidRDefault="00445BD7" w:rsidP="00526AA5">
            <w:pPr>
              <w:rPr>
                <w:rFonts w:ascii="Verdana" w:hAnsi="Verdana"/>
              </w:rPr>
            </w:pPr>
            <w:r w:rsidRPr="00857646">
              <w:rPr>
                <w:rFonts w:ascii="Verdana" w:hAnsi="Verdana"/>
                <w:color w:val="0070C0"/>
                <w:sz w:val="24"/>
                <w:szCs w:val="24"/>
              </w:rPr>
              <w:t>Record</w:t>
            </w:r>
          </w:p>
        </w:tc>
        <w:tc>
          <w:tcPr>
            <w:tcW w:w="6680" w:type="dxa"/>
            <w:hideMark/>
          </w:tcPr>
          <w:p w14:paraId="1D0C90D7" w14:textId="77777777" w:rsidR="00445BD7" w:rsidRPr="00857646" w:rsidRDefault="00445BD7" w:rsidP="00526AA5">
            <w:pPr>
              <w:rPr>
                <w:rFonts w:ascii="Verdana" w:hAnsi="Verdana"/>
                <w:sz w:val="24"/>
                <w:szCs w:val="24"/>
              </w:rPr>
            </w:pPr>
            <w:r w:rsidRPr="00857646">
              <w:rPr>
                <w:rFonts w:ascii="Verdana" w:hAnsi="Verdana"/>
                <w:sz w:val="24"/>
                <w:szCs w:val="24"/>
              </w:rPr>
              <w:t>A record is information which has content, context and structure. This forms the ‘official’ record (e.g. for a patient, taxpayer etc.) as opposed to unstructured information.</w:t>
            </w:r>
          </w:p>
        </w:tc>
      </w:tr>
      <w:tr w:rsidR="00445BD7" w:rsidRPr="00857646" w14:paraId="26518162" w14:textId="77777777" w:rsidTr="00526AA5">
        <w:tc>
          <w:tcPr>
            <w:tcW w:w="2336" w:type="dxa"/>
          </w:tcPr>
          <w:p w14:paraId="2B9D4821"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Reidentification</w:t>
            </w:r>
          </w:p>
        </w:tc>
        <w:tc>
          <w:tcPr>
            <w:tcW w:w="6680" w:type="dxa"/>
          </w:tcPr>
          <w:p w14:paraId="4BE4DF26" w14:textId="77777777" w:rsidR="00445BD7" w:rsidRPr="00857646" w:rsidRDefault="00445BD7" w:rsidP="00E91A93">
            <w:pPr>
              <w:rPr>
                <w:rFonts w:ascii="Verdana" w:hAnsi="Verdana"/>
                <w:sz w:val="24"/>
                <w:szCs w:val="24"/>
              </w:rPr>
            </w:pPr>
            <w:r w:rsidRPr="00857646">
              <w:rPr>
                <w:rFonts w:ascii="Verdana" w:hAnsi="Verdana"/>
                <w:sz w:val="24"/>
                <w:szCs w:val="24"/>
              </w:rPr>
              <w:t>The process of taking anonymous data and turning it back to its original identifiable form.</w:t>
            </w:r>
          </w:p>
        </w:tc>
      </w:tr>
      <w:tr w:rsidR="00445BD7" w:rsidRPr="00857646" w14:paraId="537178EF" w14:textId="77777777" w:rsidTr="00526AA5">
        <w:tc>
          <w:tcPr>
            <w:tcW w:w="2336" w:type="dxa"/>
            <w:hideMark/>
          </w:tcPr>
          <w:p w14:paraId="1FDD5882" w14:textId="77777777" w:rsidR="00445BD7" w:rsidRPr="00857646" w:rsidRDefault="00445BD7" w:rsidP="00526AA5">
            <w:pPr>
              <w:rPr>
                <w:rFonts w:ascii="Verdana" w:hAnsi="Verdana"/>
              </w:rPr>
            </w:pPr>
            <w:r w:rsidRPr="00857646">
              <w:rPr>
                <w:rFonts w:ascii="Verdana" w:hAnsi="Verdana"/>
                <w:color w:val="0070C0"/>
                <w:sz w:val="24"/>
                <w:szCs w:val="24"/>
              </w:rPr>
              <w:t>Retention/disposal schedule</w:t>
            </w:r>
          </w:p>
        </w:tc>
        <w:tc>
          <w:tcPr>
            <w:tcW w:w="6680" w:type="dxa"/>
            <w:hideMark/>
          </w:tcPr>
          <w:p w14:paraId="099926C8" w14:textId="77777777" w:rsidR="00445BD7" w:rsidRPr="00857646" w:rsidRDefault="00445BD7" w:rsidP="00526AA5">
            <w:pPr>
              <w:rPr>
                <w:rFonts w:ascii="Verdana" w:hAnsi="Verdana"/>
                <w:sz w:val="24"/>
                <w:szCs w:val="24"/>
              </w:rPr>
            </w:pPr>
            <w:r w:rsidRPr="00857646">
              <w:rPr>
                <w:rFonts w:ascii="Verdana" w:hAnsi="Verdana"/>
                <w:sz w:val="24"/>
                <w:szCs w:val="24"/>
              </w:rPr>
              <w:t>This is the formal policy of an organisation which sets out how long a type or class of record should be retained for legal and business reasons (and when deleted or moved etc.)</w:t>
            </w:r>
          </w:p>
        </w:tc>
      </w:tr>
      <w:tr w:rsidR="00445BD7" w:rsidRPr="00857646" w14:paraId="2C102B05" w14:textId="77777777" w:rsidTr="00526AA5">
        <w:tc>
          <w:tcPr>
            <w:tcW w:w="2336" w:type="dxa"/>
          </w:tcPr>
          <w:p w14:paraId="43393E18" w14:textId="77777777" w:rsidR="00445BD7" w:rsidRPr="00857646" w:rsidRDefault="00445BD7" w:rsidP="00E91A93">
            <w:pPr>
              <w:rPr>
                <w:rFonts w:ascii="Verdana" w:hAnsi="Verdana"/>
                <w:sz w:val="24"/>
                <w:szCs w:val="24"/>
              </w:rPr>
            </w:pPr>
            <w:r w:rsidRPr="00857646">
              <w:rPr>
                <w:rFonts w:ascii="Verdana" w:hAnsi="Verdana"/>
                <w:color w:val="0070C0"/>
                <w:sz w:val="24"/>
                <w:szCs w:val="24"/>
              </w:rPr>
              <w:t>Sampling</w:t>
            </w:r>
          </w:p>
        </w:tc>
        <w:tc>
          <w:tcPr>
            <w:tcW w:w="6680" w:type="dxa"/>
          </w:tcPr>
          <w:p w14:paraId="060FED53" w14:textId="77777777" w:rsidR="00445BD7" w:rsidRPr="00857646" w:rsidRDefault="00445BD7" w:rsidP="00E91A93">
            <w:pPr>
              <w:rPr>
                <w:rFonts w:ascii="Verdana" w:hAnsi="Verdana"/>
                <w:sz w:val="24"/>
                <w:szCs w:val="24"/>
              </w:rPr>
            </w:pPr>
            <w:r w:rsidRPr="00857646">
              <w:rPr>
                <w:rFonts w:ascii="Verdana" w:hAnsi="Verdana"/>
                <w:sz w:val="24"/>
                <w:szCs w:val="24"/>
              </w:rPr>
              <w:t xml:space="preserve">Selecting a subset of information from a larger set of information. </w:t>
            </w:r>
          </w:p>
        </w:tc>
      </w:tr>
      <w:tr w:rsidR="00445BD7" w:rsidRPr="00857646" w14:paraId="5F819318" w14:textId="77777777" w:rsidTr="00526AA5">
        <w:tc>
          <w:tcPr>
            <w:tcW w:w="2336" w:type="dxa"/>
            <w:hideMark/>
          </w:tcPr>
          <w:p w14:paraId="034F3C8E" w14:textId="77777777" w:rsidR="00445BD7" w:rsidRPr="00857646" w:rsidRDefault="00445BD7" w:rsidP="00526AA5">
            <w:pPr>
              <w:rPr>
                <w:rFonts w:ascii="Verdana" w:hAnsi="Verdana"/>
              </w:rPr>
            </w:pPr>
            <w:r w:rsidRPr="00857646">
              <w:rPr>
                <w:rFonts w:ascii="Verdana" w:hAnsi="Verdana"/>
                <w:color w:val="0070C0"/>
                <w:sz w:val="24"/>
                <w:szCs w:val="24"/>
              </w:rPr>
              <w:lastRenderedPageBreak/>
              <w:t>Senior Information Responsible Owner (SIRO)</w:t>
            </w:r>
          </w:p>
        </w:tc>
        <w:tc>
          <w:tcPr>
            <w:tcW w:w="6680" w:type="dxa"/>
            <w:hideMark/>
          </w:tcPr>
          <w:p w14:paraId="11D2CFFB" w14:textId="77777777" w:rsidR="00445BD7" w:rsidRPr="00857646" w:rsidRDefault="00445BD7" w:rsidP="00526AA5">
            <w:pPr>
              <w:rPr>
                <w:rFonts w:ascii="Verdana" w:hAnsi="Verdana"/>
                <w:sz w:val="24"/>
                <w:szCs w:val="24"/>
              </w:rPr>
            </w:pPr>
            <w:r w:rsidRPr="00857646">
              <w:rPr>
                <w:rFonts w:ascii="Verdana" w:hAnsi="Verdana"/>
                <w:sz w:val="24"/>
                <w:szCs w:val="24"/>
              </w:rPr>
              <w:t xml:space="preserve">This is used in the context of UK public sector to describe the senior person (e.g. director, Chief Executive etc.) who has been appointed to manage top-level information risks relating to data assets within the organisation. </w:t>
            </w:r>
          </w:p>
        </w:tc>
      </w:tr>
      <w:tr w:rsidR="00445BD7" w:rsidRPr="00857646" w14:paraId="38B55C1B" w14:textId="77777777" w:rsidTr="00526AA5">
        <w:tc>
          <w:tcPr>
            <w:tcW w:w="2336" w:type="dxa"/>
          </w:tcPr>
          <w:p w14:paraId="08F4F86F"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Statistic</w:t>
            </w:r>
          </w:p>
        </w:tc>
        <w:tc>
          <w:tcPr>
            <w:tcW w:w="6680" w:type="dxa"/>
          </w:tcPr>
          <w:p w14:paraId="38EB5F57" w14:textId="77777777" w:rsidR="00445BD7" w:rsidRPr="00857646" w:rsidRDefault="00445BD7" w:rsidP="00E91A93">
            <w:pPr>
              <w:rPr>
                <w:rFonts w:ascii="Verdana" w:hAnsi="Verdana"/>
                <w:sz w:val="24"/>
                <w:szCs w:val="24"/>
              </w:rPr>
            </w:pPr>
            <w:r w:rsidRPr="00857646">
              <w:rPr>
                <w:rFonts w:ascii="Verdana" w:hAnsi="Verdana"/>
                <w:sz w:val="24"/>
                <w:szCs w:val="24"/>
              </w:rPr>
              <w:t>A value or data obtained from a study of a large quantity of numerical data.</w:t>
            </w:r>
          </w:p>
        </w:tc>
      </w:tr>
      <w:tr w:rsidR="00445BD7" w:rsidRPr="00857646" w14:paraId="2A940FD9" w14:textId="77777777" w:rsidTr="00526AA5">
        <w:tc>
          <w:tcPr>
            <w:tcW w:w="2336" w:type="dxa"/>
            <w:hideMark/>
          </w:tcPr>
          <w:p w14:paraId="209B46EF" w14:textId="77777777" w:rsidR="00445BD7" w:rsidRPr="00857646" w:rsidRDefault="00445BD7" w:rsidP="00526AA5">
            <w:pPr>
              <w:rPr>
                <w:rFonts w:ascii="Verdana" w:hAnsi="Verdana"/>
              </w:rPr>
            </w:pPr>
            <w:r w:rsidRPr="00857646">
              <w:rPr>
                <w:rFonts w:ascii="Verdana" w:hAnsi="Verdana"/>
                <w:color w:val="0070C0"/>
                <w:sz w:val="24"/>
                <w:szCs w:val="24"/>
              </w:rPr>
              <w:t>Third Party</w:t>
            </w:r>
          </w:p>
        </w:tc>
        <w:tc>
          <w:tcPr>
            <w:tcW w:w="6680" w:type="dxa"/>
            <w:hideMark/>
          </w:tcPr>
          <w:p w14:paraId="7FFD1177" w14:textId="77777777" w:rsidR="00445BD7" w:rsidRPr="00857646" w:rsidRDefault="00445BD7" w:rsidP="00526AA5">
            <w:pPr>
              <w:rPr>
                <w:rFonts w:ascii="Verdana" w:hAnsi="Verdana"/>
                <w:sz w:val="24"/>
                <w:szCs w:val="24"/>
              </w:rPr>
            </w:pPr>
            <w:r w:rsidRPr="00857646">
              <w:rPr>
                <w:rFonts w:ascii="Verdana" w:hAnsi="Verdana"/>
                <w:sz w:val="24"/>
                <w:szCs w:val="24"/>
              </w:rPr>
              <w:t xml:space="preserve">In the context of data protection law, a third party is anyone other than the data controller (and their agreed processors) and the data subject. </w:t>
            </w:r>
          </w:p>
        </w:tc>
      </w:tr>
      <w:tr w:rsidR="00445BD7" w:rsidRPr="00857646" w14:paraId="2D5DE7D9" w14:textId="77777777" w:rsidTr="00526AA5">
        <w:tc>
          <w:tcPr>
            <w:tcW w:w="2336" w:type="dxa"/>
          </w:tcPr>
          <w:p w14:paraId="0D30B700" w14:textId="77777777" w:rsidR="00445BD7" w:rsidRPr="00857646" w:rsidRDefault="00445BD7" w:rsidP="00E91A93">
            <w:pPr>
              <w:rPr>
                <w:rFonts w:ascii="Verdana" w:hAnsi="Verdana"/>
                <w:color w:val="0070C0"/>
                <w:sz w:val="24"/>
                <w:szCs w:val="24"/>
              </w:rPr>
            </w:pPr>
            <w:r w:rsidRPr="00857646">
              <w:rPr>
                <w:rFonts w:ascii="Verdana" w:hAnsi="Verdana"/>
                <w:color w:val="0070C0"/>
                <w:sz w:val="24"/>
                <w:szCs w:val="24"/>
              </w:rPr>
              <w:t>Variable</w:t>
            </w:r>
          </w:p>
        </w:tc>
        <w:tc>
          <w:tcPr>
            <w:tcW w:w="6680" w:type="dxa"/>
          </w:tcPr>
          <w:p w14:paraId="20E93333" w14:textId="77777777" w:rsidR="00445BD7" w:rsidRPr="00857646" w:rsidRDefault="00445BD7" w:rsidP="00E91A93">
            <w:pPr>
              <w:rPr>
                <w:rFonts w:ascii="Verdana" w:hAnsi="Verdana"/>
                <w:sz w:val="24"/>
                <w:szCs w:val="24"/>
              </w:rPr>
            </w:pPr>
            <w:r w:rsidRPr="00857646">
              <w:rPr>
                <w:rFonts w:ascii="Verdana" w:hAnsi="Verdana"/>
                <w:sz w:val="24"/>
                <w:szCs w:val="24"/>
              </w:rPr>
              <w:t>A characteristic of data that can be measured or observed.</w:t>
            </w:r>
          </w:p>
        </w:tc>
      </w:tr>
    </w:tbl>
    <w:p w14:paraId="5C124FD8" w14:textId="77777777" w:rsidR="00375755" w:rsidRPr="00857646" w:rsidRDefault="00375755" w:rsidP="00375755">
      <w:pPr>
        <w:rPr>
          <w:rFonts w:ascii="Verdana" w:hAnsi="Verdana"/>
          <w:sz w:val="24"/>
          <w:szCs w:val="24"/>
        </w:rPr>
      </w:pPr>
    </w:p>
    <w:p w14:paraId="0E2E81B1" w14:textId="77777777" w:rsidR="00375755" w:rsidRPr="00857646" w:rsidRDefault="00375755" w:rsidP="00375755">
      <w:pPr>
        <w:rPr>
          <w:rFonts w:ascii="Verdana" w:hAnsi="Verdana"/>
          <w:sz w:val="24"/>
          <w:szCs w:val="24"/>
        </w:rPr>
      </w:pPr>
    </w:p>
    <w:p w14:paraId="5B55E219" w14:textId="77777777" w:rsidR="00375755" w:rsidRPr="00857646" w:rsidRDefault="00375755" w:rsidP="00E91A93">
      <w:pPr>
        <w:rPr>
          <w:rFonts w:ascii="Verdana" w:hAnsi="Verdana"/>
          <w:sz w:val="24"/>
          <w:szCs w:val="24"/>
        </w:rPr>
      </w:pPr>
    </w:p>
    <w:sectPr w:rsidR="00375755" w:rsidRPr="0085764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0F654" w14:textId="77777777" w:rsidR="00C55F9C" w:rsidRDefault="00C55F9C" w:rsidP="00E91A93">
      <w:pPr>
        <w:spacing w:after="0" w:line="240" w:lineRule="auto"/>
      </w:pPr>
      <w:r>
        <w:separator/>
      </w:r>
    </w:p>
  </w:endnote>
  <w:endnote w:type="continuationSeparator" w:id="0">
    <w:p w14:paraId="5D8449C0" w14:textId="77777777" w:rsidR="00C55F9C" w:rsidRDefault="00C55F9C" w:rsidP="00E9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082210"/>
      <w:docPartObj>
        <w:docPartGallery w:val="Page Numbers (Bottom of Page)"/>
        <w:docPartUnique/>
      </w:docPartObj>
    </w:sdtPr>
    <w:sdtContent>
      <w:sdt>
        <w:sdtPr>
          <w:id w:val="1728636285"/>
          <w:docPartObj>
            <w:docPartGallery w:val="Page Numbers (Top of Page)"/>
            <w:docPartUnique/>
          </w:docPartObj>
        </w:sdtPr>
        <w:sdtContent>
          <w:p w14:paraId="04410C15" w14:textId="1DA8FF72" w:rsidR="00E91A93" w:rsidRDefault="00E91A93">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567EB6BF" w14:textId="77777777" w:rsidR="00E91A93" w:rsidRDefault="00E91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9BFB5" w14:textId="77777777" w:rsidR="00C55F9C" w:rsidRDefault="00C55F9C" w:rsidP="00E91A93">
      <w:pPr>
        <w:spacing w:after="0" w:line="240" w:lineRule="auto"/>
      </w:pPr>
      <w:r>
        <w:separator/>
      </w:r>
    </w:p>
  </w:footnote>
  <w:footnote w:type="continuationSeparator" w:id="0">
    <w:p w14:paraId="6D936641" w14:textId="77777777" w:rsidR="00C55F9C" w:rsidRDefault="00C55F9C" w:rsidP="00E91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1E5F7A8" w14:paraId="0BA4824C" w14:textId="77777777" w:rsidTr="41E5F7A8">
      <w:trPr>
        <w:trHeight w:val="300"/>
      </w:trPr>
      <w:tc>
        <w:tcPr>
          <w:tcW w:w="3005" w:type="dxa"/>
        </w:tcPr>
        <w:p w14:paraId="06B70093" w14:textId="0AD8A510" w:rsidR="41E5F7A8" w:rsidRDefault="41E5F7A8" w:rsidP="41E5F7A8">
          <w:pPr>
            <w:pStyle w:val="Header"/>
            <w:ind w:left="-115"/>
          </w:pPr>
        </w:p>
      </w:tc>
      <w:tc>
        <w:tcPr>
          <w:tcW w:w="3005" w:type="dxa"/>
        </w:tcPr>
        <w:p w14:paraId="494C1B4A" w14:textId="53ABD0FB" w:rsidR="41E5F7A8" w:rsidRDefault="41E5F7A8" w:rsidP="41E5F7A8">
          <w:pPr>
            <w:pStyle w:val="Header"/>
            <w:jc w:val="center"/>
          </w:pPr>
        </w:p>
      </w:tc>
      <w:tc>
        <w:tcPr>
          <w:tcW w:w="3005" w:type="dxa"/>
        </w:tcPr>
        <w:p w14:paraId="5DCCF8AD" w14:textId="29FDBF5A" w:rsidR="41E5F7A8" w:rsidRDefault="41E5F7A8" w:rsidP="41E5F7A8">
          <w:pPr>
            <w:pStyle w:val="Header"/>
            <w:ind w:right="-115"/>
            <w:jc w:val="right"/>
          </w:pPr>
        </w:p>
      </w:tc>
    </w:tr>
  </w:tbl>
  <w:p w14:paraId="26B495F1" w14:textId="6DF8A578" w:rsidR="41E5F7A8" w:rsidRDefault="41E5F7A8" w:rsidP="41E5F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F4EAC"/>
    <w:multiLevelType w:val="multilevel"/>
    <w:tmpl w:val="AD7E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3C025C"/>
    <w:multiLevelType w:val="hybridMultilevel"/>
    <w:tmpl w:val="5400F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063508"/>
    <w:multiLevelType w:val="multilevel"/>
    <w:tmpl w:val="7C7C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033209">
    <w:abstractNumId w:val="2"/>
  </w:num>
  <w:num w:numId="2" w16cid:durableId="151071572">
    <w:abstractNumId w:val="0"/>
  </w:num>
  <w:num w:numId="3" w16cid:durableId="987369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93"/>
    <w:rsid w:val="00000D5F"/>
    <w:rsid w:val="00004931"/>
    <w:rsid w:val="000057BC"/>
    <w:rsid w:val="000313F4"/>
    <w:rsid w:val="000359EA"/>
    <w:rsid w:val="000565BC"/>
    <w:rsid w:val="00074A29"/>
    <w:rsid w:val="00086313"/>
    <w:rsid w:val="00095E69"/>
    <w:rsid w:val="000A53B2"/>
    <w:rsid w:val="000B5F77"/>
    <w:rsid w:val="000E4819"/>
    <w:rsid w:val="000F1D8F"/>
    <w:rsid w:val="00120097"/>
    <w:rsid w:val="00130A19"/>
    <w:rsid w:val="00132DA6"/>
    <w:rsid w:val="001434FC"/>
    <w:rsid w:val="00151A48"/>
    <w:rsid w:val="00163D61"/>
    <w:rsid w:val="00163E80"/>
    <w:rsid w:val="0016435C"/>
    <w:rsid w:val="00180A17"/>
    <w:rsid w:val="001A77A4"/>
    <w:rsid w:val="001E138E"/>
    <w:rsid w:val="001E4341"/>
    <w:rsid w:val="001F0371"/>
    <w:rsid w:val="0020202B"/>
    <w:rsid w:val="00232EAA"/>
    <w:rsid w:val="00257C39"/>
    <w:rsid w:val="002616DE"/>
    <w:rsid w:val="00265790"/>
    <w:rsid w:val="00281E14"/>
    <w:rsid w:val="002D3EB9"/>
    <w:rsid w:val="002D4175"/>
    <w:rsid w:val="002E2CF1"/>
    <w:rsid w:val="00301AAF"/>
    <w:rsid w:val="00341CC9"/>
    <w:rsid w:val="003448D5"/>
    <w:rsid w:val="00351C93"/>
    <w:rsid w:val="00360F69"/>
    <w:rsid w:val="00375755"/>
    <w:rsid w:val="00375EC6"/>
    <w:rsid w:val="00382E3F"/>
    <w:rsid w:val="00396337"/>
    <w:rsid w:val="003B14FA"/>
    <w:rsid w:val="003B53DB"/>
    <w:rsid w:val="003E0F18"/>
    <w:rsid w:val="003E4E02"/>
    <w:rsid w:val="003F4C6C"/>
    <w:rsid w:val="003F70C5"/>
    <w:rsid w:val="004108E0"/>
    <w:rsid w:val="0043081B"/>
    <w:rsid w:val="004312C2"/>
    <w:rsid w:val="00435B76"/>
    <w:rsid w:val="00445BD7"/>
    <w:rsid w:val="00466A2A"/>
    <w:rsid w:val="00467580"/>
    <w:rsid w:val="00474339"/>
    <w:rsid w:val="00475159"/>
    <w:rsid w:val="00477DB0"/>
    <w:rsid w:val="00494A4F"/>
    <w:rsid w:val="004F05F9"/>
    <w:rsid w:val="004F3B2F"/>
    <w:rsid w:val="005041BB"/>
    <w:rsid w:val="00526AA5"/>
    <w:rsid w:val="005301DD"/>
    <w:rsid w:val="00530420"/>
    <w:rsid w:val="00533381"/>
    <w:rsid w:val="00542138"/>
    <w:rsid w:val="00546199"/>
    <w:rsid w:val="00551DFF"/>
    <w:rsid w:val="00553BE7"/>
    <w:rsid w:val="00554F09"/>
    <w:rsid w:val="005573EE"/>
    <w:rsid w:val="00557AB2"/>
    <w:rsid w:val="00562275"/>
    <w:rsid w:val="00567E22"/>
    <w:rsid w:val="00577881"/>
    <w:rsid w:val="005A79DD"/>
    <w:rsid w:val="005C7BFE"/>
    <w:rsid w:val="005E19DE"/>
    <w:rsid w:val="005F506D"/>
    <w:rsid w:val="005F5E98"/>
    <w:rsid w:val="005F68C0"/>
    <w:rsid w:val="00600E39"/>
    <w:rsid w:val="006106CA"/>
    <w:rsid w:val="00631FE8"/>
    <w:rsid w:val="006A2783"/>
    <w:rsid w:val="006C3950"/>
    <w:rsid w:val="006D0F96"/>
    <w:rsid w:val="006E4D7B"/>
    <w:rsid w:val="00713FDC"/>
    <w:rsid w:val="00722668"/>
    <w:rsid w:val="007227CC"/>
    <w:rsid w:val="00723F28"/>
    <w:rsid w:val="00735CEE"/>
    <w:rsid w:val="007539C2"/>
    <w:rsid w:val="00772437"/>
    <w:rsid w:val="007A6D26"/>
    <w:rsid w:val="00833E0C"/>
    <w:rsid w:val="00857646"/>
    <w:rsid w:val="00857AA7"/>
    <w:rsid w:val="00890C0C"/>
    <w:rsid w:val="008B5AD9"/>
    <w:rsid w:val="00930AE6"/>
    <w:rsid w:val="00934522"/>
    <w:rsid w:val="009616EC"/>
    <w:rsid w:val="00966B6D"/>
    <w:rsid w:val="00970A91"/>
    <w:rsid w:val="00974F3A"/>
    <w:rsid w:val="009B3744"/>
    <w:rsid w:val="009D30FF"/>
    <w:rsid w:val="00A050D8"/>
    <w:rsid w:val="00A1058F"/>
    <w:rsid w:val="00A5794A"/>
    <w:rsid w:val="00A7045B"/>
    <w:rsid w:val="00A815F9"/>
    <w:rsid w:val="00AA0977"/>
    <w:rsid w:val="00AA3A29"/>
    <w:rsid w:val="00AC7D6C"/>
    <w:rsid w:val="00AF79E4"/>
    <w:rsid w:val="00B011EE"/>
    <w:rsid w:val="00B451E8"/>
    <w:rsid w:val="00B475E5"/>
    <w:rsid w:val="00B8540F"/>
    <w:rsid w:val="00BA3FAD"/>
    <w:rsid w:val="00BB21D1"/>
    <w:rsid w:val="00BC0C32"/>
    <w:rsid w:val="00BD18F2"/>
    <w:rsid w:val="00C0197D"/>
    <w:rsid w:val="00C355EF"/>
    <w:rsid w:val="00C37BD4"/>
    <w:rsid w:val="00C55F9C"/>
    <w:rsid w:val="00C571C7"/>
    <w:rsid w:val="00C84C77"/>
    <w:rsid w:val="00C96CB8"/>
    <w:rsid w:val="00CB208E"/>
    <w:rsid w:val="00CB718A"/>
    <w:rsid w:val="00CF31B4"/>
    <w:rsid w:val="00CF54C4"/>
    <w:rsid w:val="00CF6171"/>
    <w:rsid w:val="00CF6879"/>
    <w:rsid w:val="00D31F03"/>
    <w:rsid w:val="00D5325C"/>
    <w:rsid w:val="00D6679E"/>
    <w:rsid w:val="00D8704C"/>
    <w:rsid w:val="00E02E62"/>
    <w:rsid w:val="00E04006"/>
    <w:rsid w:val="00E160B5"/>
    <w:rsid w:val="00E21FEA"/>
    <w:rsid w:val="00E3153E"/>
    <w:rsid w:val="00E44694"/>
    <w:rsid w:val="00E7462A"/>
    <w:rsid w:val="00E8070E"/>
    <w:rsid w:val="00E91A93"/>
    <w:rsid w:val="00E91CB7"/>
    <w:rsid w:val="00EA6CDA"/>
    <w:rsid w:val="00EC0AB0"/>
    <w:rsid w:val="00EC1F8A"/>
    <w:rsid w:val="00EE60FC"/>
    <w:rsid w:val="00F01010"/>
    <w:rsid w:val="00F410FB"/>
    <w:rsid w:val="00F51089"/>
    <w:rsid w:val="00F52284"/>
    <w:rsid w:val="00F553C7"/>
    <w:rsid w:val="00F5540A"/>
    <w:rsid w:val="00F9675C"/>
    <w:rsid w:val="00FC0DEF"/>
    <w:rsid w:val="00FD674E"/>
    <w:rsid w:val="00FE2BE4"/>
    <w:rsid w:val="019B2BD5"/>
    <w:rsid w:val="1A3726D1"/>
    <w:rsid w:val="1A7890F0"/>
    <w:rsid w:val="1DF3F38F"/>
    <w:rsid w:val="2CEA85B8"/>
    <w:rsid w:val="31D5367E"/>
    <w:rsid w:val="360751B9"/>
    <w:rsid w:val="3A276496"/>
    <w:rsid w:val="3BDB7CE1"/>
    <w:rsid w:val="41E5F7A8"/>
    <w:rsid w:val="47317CBB"/>
    <w:rsid w:val="48A9A585"/>
    <w:rsid w:val="520D5D66"/>
    <w:rsid w:val="52F8CE2C"/>
    <w:rsid w:val="53650883"/>
    <w:rsid w:val="5B9B174F"/>
    <w:rsid w:val="62FD844E"/>
    <w:rsid w:val="65F4B893"/>
    <w:rsid w:val="6685D171"/>
    <w:rsid w:val="6B332FB3"/>
    <w:rsid w:val="6E6AD075"/>
    <w:rsid w:val="744B2CE8"/>
    <w:rsid w:val="7463CFAB"/>
    <w:rsid w:val="74AC36EA"/>
    <w:rsid w:val="77D86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B490"/>
  <w15:chartTrackingRefBased/>
  <w15:docId w15:val="{08F24E8E-BA68-4A87-B3C4-A7C07847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A93"/>
    <w:rPr>
      <w:rFonts w:eastAsiaTheme="majorEastAsia" w:cstheme="majorBidi"/>
      <w:color w:val="272727" w:themeColor="text1" w:themeTint="D8"/>
    </w:rPr>
  </w:style>
  <w:style w:type="paragraph" w:styleId="Title">
    <w:name w:val="Title"/>
    <w:basedOn w:val="Normal"/>
    <w:next w:val="Normal"/>
    <w:link w:val="TitleChar"/>
    <w:uiPriority w:val="10"/>
    <w:qFormat/>
    <w:rsid w:val="00E91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A93"/>
    <w:pPr>
      <w:spacing w:before="160"/>
      <w:jc w:val="center"/>
    </w:pPr>
    <w:rPr>
      <w:i/>
      <w:iCs/>
      <w:color w:val="404040" w:themeColor="text1" w:themeTint="BF"/>
    </w:rPr>
  </w:style>
  <w:style w:type="character" w:customStyle="1" w:styleId="QuoteChar">
    <w:name w:val="Quote Char"/>
    <w:basedOn w:val="DefaultParagraphFont"/>
    <w:link w:val="Quote"/>
    <w:uiPriority w:val="29"/>
    <w:rsid w:val="00E91A93"/>
    <w:rPr>
      <w:i/>
      <w:iCs/>
      <w:color w:val="404040" w:themeColor="text1" w:themeTint="BF"/>
    </w:rPr>
  </w:style>
  <w:style w:type="paragraph" w:styleId="ListParagraph">
    <w:name w:val="List Paragraph"/>
    <w:basedOn w:val="Normal"/>
    <w:uiPriority w:val="34"/>
    <w:qFormat/>
    <w:rsid w:val="00E91A93"/>
    <w:pPr>
      <w:ind w:left="720"/>
      <w:contextualSpacing/>
    </w:pPr>
  </w:style>
  <w:style w:type="character" w:styleId="IntenseEmphasis">
    <w:name w:val="Intense Emphasis"/>
    <w:basedOn w:val="DefaultParagraphFont"/>
    <w:uiPriority w:val="21"/>
    <w:qFormat/>
    <w:rsid w:val="00E91A93"/>
    <w:rPr>
      <w:i/>
      <w:iCs/>
      <w:color w:val="0F4761" w:themeColor="accent1" w:themeShade="BF"/>
    </w:rPr>
  </w:style>
  <w:style w:type="paragraph" w:styleId="IntenseQuote">
    <w:name w:val="Intense Quote"/>
    <w:basedOn w:val="Normal"/>
    <w:next w:val="Normal"/>
    <w:link w:val="IntenseQuoteChar"/>
    <w:uiPriority w:val="30"/>
    <w:qFormat/>
    <w:rsid w:val="00E91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A93"/>
    <w:rPr>
      <w:i/>
      <w:iCs/>
      <w:color w:val="0F4761" w:themeColor="accent1" w:themeShade="BF"/>
    </w:rPr>
  </w:style>
  <w:style w:type="character" w:styleId="IntenseReference">
    <w:name w:val="Intense Reference"/>
    <w:basedOn w:val="DefaultParagraphFont"/>
    <w:uiPriority w:val="32"/>
    <w:qFormat/>
    <w:rsid w:val="00E91A93"/>
    <w:rPr>
      <w:b/>
      <w:bCs/>
      <w:smallCaps/>
      <w:color w:val="0F4761" w:themeColor="accent1" w:themeShade="BF"/>
      <w:spacing w:val="5"/>
    </w:rPr>
  </w:style>
  <w:style w:type="table" w:styleId="TableGrid">
    <w:name w:val="Table Grid"/>
    <w:basedOn w:val="TableNormal"/>
    <w:uiPriority w:val="39"/>
    <w:rsid w:val="00E9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1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A93"/>
  </w:style>
  <w:style w:type="paragraph" w:styleId="Footer">
    <w:name w:val="footer"/>
    <w:basedOn w:val="Normal"/>
    <w:link w:val="FooterChar"/>
    <w:uiPriority w:val="99"/>
    <w:unhideWhenUsed/>
    <w:rsid w:val="00E91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A93"/>
  </w:style>
  <w:style w:type="paragraph" w:styleId="NoSpacing">
    <w:name w:val="No Spacing"/>
    <w:uiPriority w:val="1"/>
    <w:qFormat/>
    <w:rsid w:val="0016435C"/>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004931"/>
    <w:rPr>
      <w:rFonts w:ascii="Segoe UI" w:hAnsi="Segoe UI" w:cs="Segoe UI" w:hint="default"/>
      <w:sz w:val="18"/>
      <w:szCs w:val="18"/>
    </w:rPr>
  </w:style>
  <w:style w:type="paragraph" w:customStyle="1" w:styleId="pf0">
    <w:name w:val="pf0"/>
    <w:basedOn w:val="Normal"/>
    <w:rsid w:val="000049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11">
    <w:name w:val="cf11"/>
    <w:basedOn w:val="DefaultParagraphFont"/>
    <w:rsid w:val="004F05F9"/>
    <w:rPr>
      <w:rFonts w:ascii="Segoe UI" w:hAnsi="Segoe UI" w:cs="Segoe UI" w:hint="default"/>
      <w:color w:val="153D63"/>
      <w:sz w:val="18"/>
      <w:szCs w:val="18"/>
    </w:rPr>
  </w:style>
  <w:style w:type="paragraph" w:styleId="NormalWeb">
    <w:name w:val="Normal (Web)"/>
    <w:basedOn w:val="Normal"/>
    <w:uiPriority w:val="99"/>
    <w:unhideWhenUsed/>
    <w:rsid w:val="004F05F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03014">
      <w:bodyDiv w:val="1"/>
      <w:marLeft w:val="0"/>
      <w:marRight w:val="0"/>
      <w:marTop w:val="0"/>
      <w:marBottom w:val="0"/>
      <w:divBdr>
        <w:top w:val="none" w:sz="0" w:space="0" w:color="auto"/>
        <w:left w:val="none" w:sz="0" w:space="0" w:color="auto"/>
        <w:bottom w:val="none" w:sz="0" w:space="0" w:color="auto"/>
        <w:right w:val="none" w:sz="0" w:space="0" w:color="auto"/>
      </w:divBdr>
    </w:div>
    <w:div w:id="459500941">
      <w:bodyDiv w:val="1"/>
      <w:marLeft w:val="0"/>
      <w:marRight w:val="0"/>
      <w:marTop w:val="0"/>
      <w:marBottom w:val="0"/>
      <w:divBdr>
        <w:top w:val="none" w:sz="0" w:space="0" w:color="auto"/>
        <w:left w:val="none" w:sz="0" w:space="0" w:color="auto"/>
        <w:bottom w:val="none" w:sz="0" w:space="0" w:color="auto"/>
        <w:right w:val="none" w:sz="0" w:space="0" w:color="auto"/>
      </w:divBdr>
    </w:div>
    <w:div w:id="526988718">
      <w:bodyDiv w:val="1"/>
      <w:marLeft w:val="0"/>
      <w:marRight w:val="0"/>
      <w:marTop w:val="0"/>
      <w:marBottom w:val="0"/>
      <w:divBdr>
        <w:top w:val="none" w:sz="0" w:space="0" w:color="auto"/>
        <w:left w:val="none" w:sz="0" w:space="0" w:color="auto"/>
        <w:bottom w:val="none" w:sz="0" w:space="0" w:color="auto"/>
        <w:right w:val="none" w:sz="0" w:space="0" w:color="auto"/>
      </w:divBdr>
    </w:div>
    <w:div w:id="771584150">
      <w:bodyDiv w:val="1"/>
      <w:marLeft w:val="0"/>
      <w:marRight w:val="0"/>
      <w:marTop w:val="0"/>
      <w:marBottom w:val="0"/>
      <w:divBdr>
        <w:top w:val="none" w:sz="0" w:space="0" w:color="auto"/>
        <w:left w:val="none" w:sz="0" w:space="0" w:color="auto"/>
        <w:bottom w:val="none" w:sz="0" w:space="0" w:color="auto"/>
        <w:right w:val="none" w:sz="0" w:space="0" w:color="auto"/>
      </w:divBdr>
    </w:div>
    <w:div w:id="951132556">
      <w:bodyDiv w:val="1"/>
      <w:marLeft w:val="0"/>
      <w:marRight w:val="0"/>
      <w:marTop w:val="0"/>
      <w:marBottom w:val="0"/>
      <w:divBdr>
        <w:top w:val="none" w:sz="0" w:space="0" w:color="auto"/>
        <w:left w:val="none" w:sz="0" w:space="0" w:color="auto"/>
        <w:bottom w:val="none" w:sz="0" w:space="0" w:color="auto"/>
        <w:right w:val="none" w:sz="0" w:space="0" w:color="auto"/>
      </w:divBdr>
    </w:div>
    <w:div w:id="1114517599">
      <w:bodyDiv w:val="1"/>
      <w:marLeft w:val="0"/>
      <w:marRight w:val="0"/>
      <w:marTop w:val="0"/>
      <w:marBottom w:val="0"/>
      <w:divBdr>
        <w:top w:val="none" w:sz="0" w:space="0" w:color="auto"/>
        <w:left w:val="none" w:sz="0" w:space="0" w:color="auto"/>
        <w:bottom w:val="none" w:sz="0" w:space="0" w:color="auto"/>
        <w:right w:val="none" w:sz="0" w:space="0" w:color="auto"/>
      </w:divBdr>
    </w:div>
    <w:div w:id="1359313227">
      <w:bodyDiv w:val="1"/>
      <w:marLeft w:val="0"/>
      <w:marRight w:val="0"/>
      <w:marTop w:val="0"/>
      <w:marBottom w:val="0"/>
      <w:divBdr>
        <w:top w:val="none" w:sz="0" w:space="0" w:color="auto"/>
        <w:left w:val="none" w:sz="0" w:space="0" w:color="auto"/>
        <w:bottom w:val="none" w:sz="0" w:space="0" w:color="auto"/>
        <w:right w:val="none" w:sz="0" w:space="0" w:color="auto"/>
      </w:divBdr>
    </w:div>
    <w:div w:id="1430806664">
      <w:bodyDiv w:val="1"/>
      <w:marLeft w:val="0"/>
      <w:marRight w:val="0"/>
      <w:marTop w:val="0"/>
      <w:marBottom w:val="0"/>
      <w:divBdr>
        <w:top w:val="none" w:sz="0" w:space="0" w:color="auto"/>
        <w:left w:val="none" w:sz="0" w:space="0" w:color="auto"/>
        <w:bottom w:val="none" w:sz="0" w:space="0" w:color="auto"/>
        <w:right w:val="none" w:sz="0" w:space="0" w:color="auto"/>
      </w:divBdr>
    </w:div>
    <w:div w:id="1582324763">
      <w:bodyDiv w:val="1"/>
      <w:marLeft w:val="0"/>
      <w:marRight w:val="0"/>
      <w:marTop w:val="0"/>
      <w:marBottom w:val="0"/>
      <w:divBdr>
        <w:top w:val="none" w:sz="0" w:space="0" w:color="auto"/>
        <w:left w:val="none" w:sz="0" w:space="0" w:color="auto"/>
        <w:bottom w:val="none" w:sz="0" w:space="0" w:color="auto"/>
        <w:right w:val="none" w:sz="0" w:space="0" w:color="auto"/>
      </w:divBdr>
    </w:div>
    <w:div w:id="1793554378">
      <w:bodyDiv w:val="1"/>
      <w:marLeft w:val="0"/>
      <w:marRight w:val="0"/>
      <w:marTop w:val="0"/>
      <w:marBottom w:val="0"/>
      <w:divBdr>
        <w:top w:val="none" w:sz="0" w:space="0" w:color="auto"/>
        <w:left w:val="none" w:sz="0" w:space="0" w:color="auto"/>
        <w:bottom w:val="none" w:sz="0" w:space="0" w:color="auto"/>
        <w:right w:val="none" w:sz="0" w:space="0" w:color="auto"/>
      </w:divBdr>
    </w:div>
    <w:div w:id="1914196107">
      <w:bodyDiv w:val="1"/>
      <w:marLeft w:val="0"/>
      <w:marRight w:val="0"/>
      <w:marTop w:val="0"/>
      <w:marBottom w:val="0"/>
      <w:divBdr>
        <w:top w:val="none" w:sz="0" w:space="0" w:color="auto"/>
        <w:left w:val="none" w:sz="0" w:space="0" w:color="auto"/>
        <w:bottom w:val="none" w:sz="0" w:space="0" w:color="auto"/>
        <w:right w:val="none" w:sz="0" w:space="0" w:color="auto"/>
      </w:divBdr>
    </w:div>
    <w:div w:id="199598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440E17FF-6DF7-461D-9473-CCDE80B6A2AB}">
    <t:Anchor>
      <t:Comment id="1782388135"/>
    </t:Anchor>
    <t:History>
      <t:Event id="{DBB43044-6ACB-418F-A9C6-A590B2A06768}" time="2024-05-01T12:37:02.305Z">
        <t:Attribution userId="S::annabel.bradley@suffolk.gov.uk::d8b9c87a-3ddf-4418-8812-9ec3b28ef45f" userProvider="AD" userName="Annabel Bradley"/>
        <t:Anchor>
          <t:Comment id="1782388135"/>
        </t:Anchor>
        <t:Create/>
      </t:Event>
      <t:Event id="{F140307E-3EE8-4E7C-AA24-D662DF19520F}" time="2024-05-01T12:37:02.305Z">
        <t:Attribution userId="S::annabel.bradley@suffolk.gov.uk::d8b9c87a-3ddf-4418-8812-9ec3b28ef45f" userProvider="AD" userName="Annabel Bradley"/>
        <t:Anchor>
          <t:Comment id="1782388135"/>
        </t:Anchor>
        <t:Assign userId="S::Ryan.Giles@suffolk.gov.uk::3394d4b8-9786-4e01-a5d4-f8eac345131b" userProvider="AD" userName="Ryan Giles"/>
      </t:Event>
      <t:Event id="{75313A30-7831-4646-90B1-9CB5413C5012}" time="2024-05-01T12:37:02.305Z">
        <t:Attribution userId="S::annabel.bradley@suffolk.gov.uk::d8b9c87a-3ddf-4418-8812-9ec3b28ef45f" userProvider="AD" userName="Annabel Bradley"/>
        <t:Anchor>
          <t:Comment id="1782388135"/>
        </t:Anchor>
        <t:SetTitle title="@Ryan Giles I think this is extremely useful for those new to data analysis or those on the fringes of it who regularly come into contact with analysts and the terminology. However, for those who are less used to data [or fear data/maths], some of the …"/>
      </t:Event>
      <t:Event id="{6C37D515-002D-422F-B943-135BB981E0B0}" time="2024-05-01T14:31:04.387Z">
        <t:Attribution userId="S::ryan.giles@suffolk.gov.uk::3394d4b8-9786-4e01-a5d4-f8eac345131b" userProvider="AD" userName="Ryan Gil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f3a1ce-4382-4f91-9105-642cd0ed68ed">
      <Terms xmlns="http://schemas.microsoft.com/office/infopath/2007/PartnerControls"/>
    </lcf76f155ced4ddcb4097134ff3c332f>
    <PublishingExpirationDate xmlns="http://schemas.microsoft.com/sharepoint/v3" xsi:nil="true"/>
    <PublishingStartDate xmlns="http://schemas.microsoft.com/sharepoint/v3" xsi:nil="true"/>
    <TaxCatchAll xmlns="75304046-ffad-4f70-9f4b-bbc776f1b690" xsi:nil="true"/>
    <SharedWithUsers xmlns="8e353886-e200-459c-a74c-fb2f10c9a211">
      <UserInfo>
        <DisplayName>Michaela Breilmann</DisplayName>
        <AccountId>27</AccountId>
        <AccountType/>
      </UserInfo>
      <UserInfo>
        <DisplayName>Stephen Parsons</DisplayName>
        <AccountId>144</AccountId>
        <AccountType/>
      </UserInfo>
      <UserInfo>
        <DisplayName>Annabel Bradley</DisplayName>
        <AccountId>156</AccountId>
        <AccountType/>
      </UserInfo>
      <UserInfo>
        <DisplayName>Daniel Beaumont</DisplayName>
        <AccountId>26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A716676AB51E4AADE6DAC79524217E" ma:contentTypeVersion="18" ma:contentTypeDescription="Create a new document." ma:contentTypeScope="" ma:versionID="0583a324c8cc7e3489afade7c6134bfe">
  <xsd:schema xmlns:xsd="http://www.w3.org/2001/XMLSchema" xmlns:xs="http://www.w3.org/2001/XMLSchema" xmlns:p="http://schemas.microsoft.com/office/2006/metadata/properties" xmlns:ns1="http://schemas.microsoft.com/sharepoint/v3" xmlns:ns2="6af3a1ce-4382-4f91-9105-642cd0ed68ed" xmlns:ns3="8e353886-e200-459c-a74c-fb2f10c9a211" xmlns:ns4="75304046-ffad-4f70-9f4b-bbc776f1b690" targetNamespace="http://schemas.microsoft.com/office/2006/metadata/properties" ma:root="true" ma:fieldsID="e1470d2f28ebec4997c6fca3154e9d77" ns1:_="" ns2:_="" ns3:_="" ns4:_="">
    <xsd:import namespace="http://schemas.microsoft.com/sharepoint/v3"/>
    <xsd:import namespace="6af3a1ce-4382-4f91-9105-642cd0ed68ed"/>
    <xsd:import namespace="8e353886-e200-459c-a74c-fb2f10c9a211"/>
    <xsd:import namespace="75304046-ffad-4f70-9f4b-bbc776f1b69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f3a1ce-4382-4f91-9105-642cd0ed68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353886-e200-459c-a74c-fb2f10c9a2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141c322-0381-4fd0-a886-26195157bde7}" ma:internalName="TaxCatchAll" ma:showField="CatchAllData" ma:web="8e353886-e200-459c-a74c-fb2f10c9a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4F9E2-F62B-421E-B893-4D6631C0E25D}">
  <ds:schemaRefs>
    <ds:schemaRef ds:uri="http://schemas.microsoft.com/office/2006/metadata/properties"/>
    <ds:schemaRef ds:uri="http://schemas.microsoft.com/office/infopath/2007/PartnerControls"/>
    <ds:schemaRef ds:uri="6af3a1ce-4382-4f91-9105-642cd0ed68ed"/>
    <ds:schemaRef ds:uri="http://schemas.microsoft.com/sharepoint/v3"/>
    <ds:schemaRef ds:uri="75304046-ffad-4f70-9f4b-bbc776f1b690"/>
    <ds:schemaRef ds:uri="8e353886-e200-459c-a74c-fb2f10c9a211"/>
  </ds:schemaRefs>
</ds:datastoreItem>
</file>

<file path=customXml/itemProps2.xml><?xml version="1.0" encoding="utf-8"?>
<ds:datastoreItem xmlns:ds="http://schemas.openxmlformats.org/officeDocument/2006/customXml" ds:itemID="{18B4749F-E37E-4385-84E8-66FE9A00C130}">
  <ds:schemaRefs>
    <ds:schemaRef ds:uri="http://schemas.openxmlformats.org/officeDocument/2006/bibliography"/>
  </ds:schemaRefs>
</ds:datastoreItem>
</file>

<file path=customXml/itemProps3.xml><?xml version="1.0" encoding="utf-8"?>
<ds:datastoreItem xmlns:ds="http://schemas.openxmlformats.org/officeDocument/2006/customXml" ds:itemID="{5A877926-AD72-4AD4-B11B-DFC0518A3A46}">
  <ds:schemaRefs>
    <ds:schemaRef ds:uri="http://schemas.microsoft.com/sharepoint/v3/contenttype/forms"/>
  </ds:schemaRefs>
</ds:datastoreItem>
</file>

<file path=customXml/itemProps4.xml><?xml version="1.0" encoding="utf-8"?>
<ds:datastoreItem xmlns:ds="http://schemas.openxmlformats.org/officeDocument/2006/customXml" ds:itemID="{ED2AFC94-83A8-4129-A315-314AA3CF5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f3a1ce-4382-4f91-9105-642cd0ed68ed"/>
    <ds:schemaRef ds:uri="8e353886-e200-459c-a74c-fb2f10c9a211"/>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Giles</dc:creator>
  <cp:keywords/>
  <dc:description/>
  <cp:lastModifiedBy>Michaela Breilmann</cp:lastModifiedBy>
  <cp:revision>23</cp:revision>
  <cp:lastPrinted>2024-06-04T08:17:00Z</cp:lastPrinted>
  <dcterms:created xsi:type="dcterms:W3CDTF">2024-05-24T08:31:00Z</dcterms:created>
  <dcterms:modified xsi:type="dcterms:W3CDTF">2024-09-18T07:58:00Z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0x010100B7A716676AB51E4AADE6DAC79524217E</vt:lpwstr>
  </property>
  <property fmtid="{D5CDD505-2E9C-101B-9397-08002B2CF9AE}" pid="3" name="MediaServiceImageTags">
    <vt:lpwstr/>
  </property>
</Properties>
</file>